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6B_340/2020 vom 12. Mai 2020</w:t>
      </w:r>
    </w:p>
    <w:p>
      <w:r>
        <w:t>Bundesgericht, 2020-05-12, DE</w:t>
      </w:r>
    </w:p>
    <w:p>
      <w:r>
        <w:rPr>
          <w:b/>
        </w:rPr>
        <w:t xml:space="preserve">Quelle: </w:t>
      </w:r>
      <w:r>
        <w:t>https://mcp.opencaselaw.ch/entscheid/bger_6B_340_2020</w:t>
      </w:r>
    </w:p>
    <w:p>
      <w:r>
        <w:t>FR: TF 6B_340/2020 du 12 mai 2020</w:t>
      </w:r>
    </w:p>
    <w:p>
      <w:r>
        <w:t>IT: TF 6B_340/2020 del 12 maggio 2020</w:t>
      </w:r>
    </w:p>
    <w:p>
      <w:pPr>
        <w:pStyle w:val="Heading2"/>
      </w:pPr>
      <w:r>
        <w:t>Erwägungen</w:t>
      </w:r>
    </w:p>
    <w:p>
      <w:r>
        <w:rPr>
          <w:b/>
        </w:rPr>
        <w:t>E. 1</w:t>
      </w:r>
    </w:p>
    <w:p>
      <w:r>
        <w:t>Nach einer Strafanzeige der Beschwerdeführerin wegen versuchten Betrugs und weiterer Delikte nahm die Regionale Staatsanwaltschaft Bern-Mittelland eine Strafuntersuchung am 19. Dezember 2019 nicht an die Hand. Auf eine dagegen gerichtete Beschwerde der Beschwerdeführerin, vertreten durch B.________, trat das Obergericht des Kantons Bern mit Beschluss vom 12. März 2020 nicht ein. Auf das Ausstandsgesuch gegen die am Beschluss mitwirkende vorsitzende Oberrichterin trat das Obergericht ebenfalls nicht ein.</w:t>
      </w:r>
    </w:p>
    <w:p>
      <w:r>
        <w:rPr>
          <w:b/>
        </w:rPr>
        <w:t>E. 2</w:t>
      </w:r>
    </w:p>
    <w:p>
      <w:r>
        <w:t>Soweit B.________ im eigenen Namen Beschwerde an das Bundesgericht erhebt, kann darauf mangels Beschwerdelegitimation von vornherein nicht eingetreten werden. Die Beschwerdeführerin hat die Beschwerdeschrift innert der ihr mit Mängelbehebungsverfügung vom 18. März 2020 angesetzten Frist unterzeichnet.</w:t>
      </w:r>
    </w:p>
    <w:p>
      <w:r>
        <w:rPr>
          <w:b/>
        </w:rPr>
        <w:t>E. 3</w:t>
      </w:r>
    </w:p>
    <w:p>
      <w:r>
        <w:t>Gemäss Art. 42 Abs. 2 BGG ist in der Beschwerdebegründung in gedrängter Form darzulegen, inwiefern der angefochtene Akt Recht verletzt. Hinsichtlich der Verletzung von Grundrechten besteht eine qualifizierte Rügepflicht ( Art. 106 Abs. 2 BGG ).</w:t>
      </w:r>
    </w:p>
    <w:p>
      <w:r>
        <w:rPr>
          <w:b/>
        </w:rPr>
        <w:t>E. 4</w:t>
      </w:r>
    </w:p>
    <w:p>
      <w:r>
        <w:t>Gemäss Art. 383 Abs. 1 Satz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5</w:t>
      </w:r>
    </w:p>
    <w:p>
      <w:r>
        <w:t>Gegenstand des vorliegenden Verfahrens bildet die Frage, ob die Vorinstanz die Behandlung der Beschwerde von der Bezahlung einer Sicherheitsleistung abhängig machen durfte und ob sie darauf sowie auf das Ausstandsgesuch gegen die vorsitzende Oberrichterin zu Unrecht nicht eingetreten ist. Die Beschwerdeführerin setzt sich damit nicht substanziiert auseinander. Inwiefern die Vorinstanz Art. 383 StPO und Art. 136 StPO verletzt haben könnte, vermag sie nicht zu sagen. Soweit sie ausführt, ihr Grundrecht auf PKH (Prozesskostenhilfe) werde seit Jahren missachtet, zeigt sie auch nicht auf, dass sie im Verfahren vor Vorinstanz ein Gesuch um unentgeltliche Rechtspflege gestellt und sich überdies zur Nichtaussichtslosigkeit einer Zivilklage geäussert hätte (vgl. Art. 136 Abs. 1 lit. b StPO ). Inwiefern der angefochtene Nichteintretensbeschluss verfassungs- bzw. rechtswidrig sein könnte, ergibt sich aus der Beschwerde folglich nicht. Daraus ergibt sich auch nicht, inwiefern die Vorinstanz Recht verletzt haben soll, als sie auf das Ausstandsgesuch nicht eingetreten ist. Mit blossen pauschalen Behauptungen und unsachlichen Anschuldigungen lassen sich Rechtsverletzungen nicht begründen. Der Begründungsmangel ist offensichtlich. Auf die Beschwerde ist im Verfahren nach Art. 108 BGG nicht einzutreten.</w:t>
      </w:r>
    </w:p>
    <w:p>
      <w:r>
        <w:rPr>
          <w:b/>
        </w:rPr>
        <w:t>E. 6</w:t>
      </w:r>
    </w:p>
    <w:p>
      <w:r>
        <w:t>Von einer Kostenauflage kann ausnahmsweise abgesehen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