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6B_340/2016 vom 15. Juni 2016</w:t>
      </w:r>
    </w:p>
    <w:p>
      <w:r>
        <w:t>Bundesgericht, 2016-06-15, FR</w:t>
      </w:r>
    </w:p>
    <w:p>
      <w:r>
        <w:rPr>
          <w:b/>
        </w:rPr>
        <w:t xml:space="preserve">Quelle: </w:t>
      </w:r>
      <w:r>
        <w:t>https://mcp.opencaselaw.ch/entscheid/bger_6B_340_2016</w:t>
      </w:r>
    </w:p>
    <w:p>
      <w:r>
        <w:t>FR: TF 6B_340/2016 du 15 juin 2016</w:t>
      </w:r>
    </w:p>
    <w:p>
      <w:r>
        <w:t>IT: TF 6B_340/2016 del 15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25 février 2016, la Chambre pénale d'appel et de révision de la Cour de justice genevoise a déclaré irrecevable la demande en révision formée par X.________ contre l'ordonnance pénale prononcée contre elle pour diffamation le 29 octobre 2015 dans la procédure P/10265/2015. La chambre cantonale a considéré que la prénommée ne faisait valoir aucun fait nouveau au sens de l' art. 410 al. 1 CPP , les griefs invoqués ressortissant d'une procédure d'opposition ou d'appel contre l'ordonnance pénale.</w:t>
      </w:r>
    </w:p>
    <w:p>
      <w:r>
        <w:t>X.________ interjette un recours en matière pénale au Tribunal fédéral contre l'arrêt cantonal. Dès lors qu'elle se borne à y exposer les motifs pour lesquels, à son avis, elle ne se serait pas rendue coupable de diffamation, elle omet de se déterminer sur les considérations susmentionnées de l'arrêt attaqué, de sorte que son recours est irrecevable, à défaut d'exposer en quoi celles-ci seraient contraires au droit (cf. art. 42 al. 1 et 2 LTF ).</w:t>
      </w:r>
    </w:p>
    <w:p>
      <w:r>
        <w:rPr>
          <w:b/>
        </w:rPr>
        <w:t>E. 2</w:t>
      </w:r>
    </w:p>
    <w:p>
      <w:r>
        <w:t>La recourante, qui succombe, supporte les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