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6B_33/2018 vom 27. Februar 2018</w:t>
      </w:r>
    </w:p>
    <w:p>
      <w:r>
        <w:t>Bundesgericht, 2018-02-27, IT</w:t>
      </w:r>
    </w:p>
    <w:p>
      <w:r>
        <w:rPr>
          <w:b/>
        </w:rPr>
        <w:t xml:space="preserve">Quelle: </w:t>
      </w:r>
      <w:r>
        <w:t>https://mcp.opencaselaw.ch/entscheid/bger_6B_33_2018</w:t>
      </w:r>
    </w:p>
    <w:p>
      <w:r>
        <w:t>FR: TF 6B_33/2018 du 27 février 2018</w:t>
      </w:r>
    </w:p>
    <w:p>
      <w:r>
        <w:t>IT: TF 6B_33/2018 del 27 febbraio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Ministero pubblico del Cantone Ticino, Palazzo di giustizia, via Pretorio 16, 6901 Lugano,</w:t>
      </w:r>
    </w:p>
    <w:p>
      <w:r>
        <w:rPr>
          <w:b/>
        </w:rPr>
        <w:t>E. 2</w:t>
      </w:r>
    </w:p>
    <w:p>
      <w:r>
        <w:t>B.________,</w:t>
      </w:r>
    </w:p>
    <w:p>
      <w:r>
        <w:t>opponenti.</w:t>
      </w:r>
    </w:p>
    <w:p>
      <w:r>
        <w:t>Oggetto</w:t>
      </w:r>
    </w:p>
    <w:p>
      <w:r>
        <w:t>Istanza di rettifica, lesioni semplici,</w:t>
      </w:r>
    </w:p>
    <w:p>
      <w:r>
        <w:t>ricorso contro la sentenza emanata il 25 ottobre 2017 (incarto n. 17.2017.19+56) e la sentenza emanata il 24 novembre 2017 (incarto n. 17.2017.299) dalla Corte</w:t>
      </w:r>
    </w:p>
    <w:p>
      <w:r>
        <w:t>di appello e di revisione penale del Cantone Ticino.</w:t>
      </w:r>
    </w:p>
    <w:p>
      <w:r>
        <w:t>Considerando:</w:t>
      </w:r>
    </w:p>
    <w:p>
      <w:r>
        <w:t>che, con sentenza del 25 ottobre 2017, la Corte di appello e di revisione penale del Cantone Ticino (CARP) ha respinto in quanto ricevibile un appello presentato da A.________ contro una sentenza della Pretura penale ed ha confermato la condanna di B.________ per il titolo di lesioni semplici;</w:t>
      </w:r>
    </w:p>
    <w:p>
      <w:r>
        <w:t>che, accogliendo nella misura della sua ammissibilità un'istanza di rettifica di A.________, il 24 novembre 2017 la CARP ha corretto la suddetta sentenza limitatamente alla numerazione degli incarti e al domicilio dell'imputato;</w:t>
      </w:r>
    </w:p>
    <w:p>
      <w:r>
        <w:t>che A.________ impugna, tra altri, questi giudizi con un ricorso del 9 gennaio 2018 al Tribunale federale;</w:t>
      </w:r>
    </w:p>
    <w:p>
      <w:r>
        <w:t>che con decreto presidenziale del 12 gennaio 2018 il ricorrente è stato invitato a fornire, entro il 26 gennaio seguente, un anticipo delle spese giudiziarie presunte di fr. 800.-- ( art. 62 cpv. 1 LTF );</w:t>
      </w:r>
    </w:p>
    <w:p>
      <w:r>
        <w:t>che, scaduto infruttuoso detto termine, con ulteriore decreto presidenziale del 31 gennaio 2018 al ricorrente è stato fissato un termine suppletorio non prorogabile, scadente il 12 febbraio 2018, per versare l'anticipo richiesto, con l'avvertenza che in caso di mancato pagamento il ricorso sarebbe stato dichiarato inammissibile ( art. 62 cpv. 3 LTF );</w:t>
      </w:r>
    </w:p>
    <w:p>
      <w:r>
        <w:t>che l'invio postale raccomandato contenente questo atto giudiziario non è stato ritirato dal ricorrente, sicché giusta l' art. 44 cpv. 2 LTF la notificazione deve essere reputata avvenuta al più tardi il settimo giorno dopo il primo tentativo di consegna infruttuoso;</w:t>
      </w:r>
    </w:p>
    <w:p>
      <w:r>
        <w:t>che in ragione del rapporto procedurale pendente in questa sede, il ricorrente doveva infatti aspettarsi l'invio di comunicazioni da parte del Tribunale federale (cfr. DTF 142 IV 286 consid. 1.6.2);</w:t>
      </w:r>
    </w:p>
    <w:p>
      <w:r>
        <w:t>ch'egli non ha versato l'anticipo richiesto, né ha inoltrato alla Cassa del Tribunale federale un'attestazione di Postfinance o della banca che certifichi l'avvenuto addebito;</w:t>
      </w:r>
    </w:p>
    <w:p>
      <w:r>
        <w:t>che, pertanto, come espressamente indicato nel secondo decreto presidenziale, il ricorso dev'essere dichiarato inammissibile ( art. 62 cpv. 3 LTF );</w:t>
      </w:r>
    </w:p>
    <w:p>
      <w:r>
        <w:t>che le spese inutili sono messe a carico di chi le causa ( art. 66 cpv. 3 LTF );</w:t>
      </w:r>
    </w:p>
    <w:p>
      <w:r>
        <w:t>richiamato l' art. 108 cpv. 1 lett. a LTF 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