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339/2017 vom 19. Juni 2017</w:t>
      </w:r>
    </w:p>
    <w:p>
      <w:r>
        <w:t>Bundesgericht, 2017-06-19, DE</w:t>
      </w:r>
    </w:p>
    <w:p>
      <w:r>
        <w:rPr>
          <w:b/>
        </w:rPr>
        <w:t xml:space="preserve">Quelle: </w:t>
      </w:r>
      <w:r>
        <w:t>https://mcp.opencaselaw.ch/entscheid/bger_6B_339_2017</w:t>
      </w:r>
    </w:p>
    <w:p>
      <w:r>
        <w:t>FR: TF 6B 339/2017 du 19 juin 2017</w:t>
      </w:r>
    </w:p>
    <w:p>
      <w:r>
        <w:t>IT: TF 6B 339/2017 del 19 giugno 2017</w:t>
      </w:r>
    </w:p>
    <w:p>
      <w:pPr>
        <w:pStyle w:val="Heading2"/>
      </w:pPr>
      <w:r>
        <w:t>Regeste</w:t>
      </w:r>
    </w:p>
    <w:p>
      <w:r>
        <w:t>Strafbefehl (SVG-Widerhandlung), Einsprachefrist; rechtliches Gehör etc. | Strafprozess</w:t>
      </w:r>
    </w:p>
    <w:p>
      <w:pPr>
        <w:pStyle w:val="Heading2"/>
      </w:pPr>
      <w:r>
        <w:t>Erwägungen</w:t>
      </w:r>
    </w:p>
    <w:p>
      <w:r>
        <w:rPr>
          <w:b/>
        </w:rPr>
        <w:t>E. 1</w:t>
      </w:r>
    </w:p>
    <w:p>
      <w:r>
        <w:t>Die Staatsanwaltschaft Höfe sprach gegen X.________ am 28. Oktober 2016 mittels Strafbefehl ohne persönliche Anhörung eine Busse von Fr. 300.-- aus wegen der Vornahme einer Verrichtung, die die Bedienung des Fahrzeugs beeinträchtigt. X.________ erhob gegen den ihm am 7. November 2017 zugestellten Strafbefehl Einsprache, die am 21. November 2016 bei der Post aufgegeben wurde. Die Staatsanwaltschaft machte ihn auf die ihrer Ansicht nach verspätete Einsprache sowie mögliche Kostenfolgen bei einer Überweisung des Strafbefehls an das Gericht aufmerksam. Am 21. Dezember 2016 stellte das Bezirksgericht Höfe die Ungültigkeit der Einsprache und die Rechtskraft des Strafbefehls fest. Eine hiergegen beim Kantonsgericht Schwyz erhobene Beschwerde blieb erfolglos.</w:t>
      </w:r>
    </w:p>
    <w:p>
      <w:r>
        <w:rPr>
          <w:b/>
        </w:rPr>
        <w:t>E. 2</w:t>
      </w:r>
    </w:p>
    <w:p>
      <w:r>
        <w:t>X.________ führt Beschwerde in Strafsachen und subsidiäre Verfassungsbeschwerde. Er beantragt, der angefochtene Entscheid und der Strafbefehl seien aufzuheben und es sei ein ordentliches Verfahren durchzuführen. Er rügt sinngemäss, die Voraussetzungen gemäss Art. 352 Abs. 1 StPO zum Erlass eines Strafbefehls seien nicht gegeben. Die Staatsanwaltschaft habe ihn vor Erlass des Strafbefehls vom 28. Oktober 2016 nicht einvernommen und der Sachverhalt sei nicht hinreichend geklärt. Ein Strafbefehl habe nicht ergehen dürfen.</w:t>
      </w:r>
    </w:p>
    <w:p>
      <w:r>
        <w:rPr>
          <w:b/>
        </w:rPr>
        <w:t>E. 3.1</w:t>
      </w:r>
    </w:p>
    <w:p>
      <w:r>
        <w:t>In einer Beschwerde ans Bundesgericht ist unter Bezugnahme auf den angefochtenen Entscheid darzulegen, inwieweit dieser nach Meinung des Beschwerdeführers gegen das Recht im Sinne von Art. 95 BGG verstossen soll ( Art. 42 Abs. 2 BGG ). Die Beschwerde 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3.2</w:t>
      </w:r>
    </w:p>
    <w:p>
      <w:r>
        <w:t>Ob ein Strafbefehl den Inhaltsvorschriften gemäss Art. 353 Abs. 1 lit. c i.V.m. Art. 325 Abs. 1 lit. f StPO genügt oder infolge deren Verletzung ungültig ist, hat das erstinstanzliche Gericht auf Einsprache hin zu beurteilen. Es entscheidet gemäss Art. 356 Abs. 2 StPO sowohl über die Gültigkeit des Strafbefehls als auch der Einsprache. Verletzungen von Inhaltsvorschriften des Strafbefehls führen hingegen nicht zu dessen Nichtigkeit (vgl. Urteil 6B_968/2014 vom 24. Dezember 2014 E. 1.4 mit Hinweisen).</w:t>
      </w:r>
    </w:p>
    <w:p>
      <w:r>
        <w:rPr>
          <w:b/>
        </w:rPr>
        <w:t>E. 4</w:t>
      </w:r>
    </w:p>
    <w:p>
      <w:r>
        <w:t>Die Vorbringen genügen nicht den Begründungsanforderungen von Art. 42 Abs. 2 BGG . Inwieweit die rechtliche Qualifikation der Vorinstanz, seine Einsprache sei mangels Fristwahrung ungültig, Bundesrecht verletzen soll, legt der Beschwerdeführer nicht dar und ist auch nicht ersichtlich. Unstreitig ist, dass der Beschwerdeführer die Einsprache erst nach Ablauf der 10-tägigen Einsprachefrist und somit verspätet erhoben hat. Seine inhaltlichen Vorbringen gegen den Strafbefehl sowie seine am Institut des Strafbefehls und dessen verfahrensrechtlicher Ausgestaltung durch den Gesetzgeber erhobene Kritik sind infolge der verspäteten Einsprache nicht Gegenstand des angefochtenen Entscheids und somit im vorliegenden Verfahren nicht zu prüfen (vgl. Art. 80 Abs. 1 und Art. 90 BGG ).</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