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338/2021 vom 5. Mai 2021</w:t>
      </w:r>
    </w:p>
    <w:p>
      <w:r>
        <w:t>Bundesgericht, 2021-05-05, DE</w:t>
      </w:r>
    </w:p>
    <w:p>
      <w:r>
        <w:rPr>
          <w:b/>
        </w:rPr>
        <w:t xml:space="preserve">Quelle: </w:t>
      </w:r>
      <w:r>
        <w:t>https://mcp.opencaselaw.ch/entscheid/bger_6B_338_2021</w:t>
      </w:r>
    </w:p>
    <w:p>
      <w:r>
        <w:t>FR: TF 6B 338/2021 du 5 mai 2021</w:t>
      </w:r>
    </w:p>
    <w:p>
      <w:r>
        <w:t>IT: TF 6B 338/2021 del 5 maggio 2021</w:t>
      </w:r>
    </w:p>
    <w:p>
      <w:pPr>
        <w:pStyle w:val="Heading2"/>
      </w:pPr>
      <w:r>
        <w:t>Regeste</w:t>
      </w:r>
    </w:p>
    <w:p>
      <w:r>
        <w:t>Einstellung (Nötigung, Beschimpfung usw.); Nichteintreten | Strafprozess</w:t>
      </w:r>
    </w:p>
    <w:p>
      <w:pPr>
        <w:pStyle w:val="Heading2"/>
      </w:pPr>
      <w:r>
        <w:t>Erwägungen</w:t>
      </w:r>
    </w:p>
    <w:p>
      <w:r>
        <w:rPr>
          <w:b/>
        </w:rPr>
        <w:t>E. 1</w:t>
      </w:r>
    </w:p>
    <w:p>
      <w:r>
        <w:t>Am 2. März 2020 buchte der Beschwerdeführer ein Zimmer in einem von B.B.________ und C.B.________ geführten "Bed- and-Breakfast". Die Zimmerbuchung wurde mehrfach mündlich verlängert. Am 27. April 2020 wurde dem Beschwerdeführer mitgeteilt, das Zimmer per 30. April 2020 verlassen zu müssen. Diese Frist wurde bis zum 4. Mai 2020 verlängert. Am 5. Mai 2020 wurde ihm eine letzte Frist bis zum 7. Mai 2020 gesetzt, um das Zimmer zu räumen. Nachdem er der Aufforderung zur Räumung nicht nachkam, wurde ihm ein Hausverbot erteilt. Am 5. Mai 2020, 11. Mai 2020 sowie 9. Juni 2020 erstattete der Beschwerdeführer Strafanzeige/Strafantrag. Das Untersuchungsamt Uznach, Zweigstelle Flums, stellte das von ihm angestrebte Strafverfahren gegen C.B.________ wegen Verletzung des Geheim- und Privatbereichs durch Aufnahmegeräte, unbefugten Aufnehmens von Gesprächen, Hausfriedensbruchs, mehrfacher Nötigung, mehrfacher Beschimpfung, Drohung, Verleumdung sowie übler Nachrede am 10. Dezember 2020 ein. Die im Zusammenhang mit der Einstellung des Strafverfahrens wegen angeblicher Nötigung vom 7. Mai 2020, angeblichen Hausfriedensbruchs vom 4. Mai 2020 sowie angeblicher Beschimpfung von 8. Mai 2020 erhobene Beschwerde wies die Anklagekammer des Kantons St. Gallen mit Entscheid vom 18. Februar 2021 ab, soweit sie darauf eintrat. Der Beschwerdeführer wendet sich dagegen mit Beschwerde in Strafsachen an das Bundesgericht.</w:t>
      </w:r>
    </w:p>
    <w:p>
      <w:r>
        <w:rPr>
          <w:b/>
        </w:rPr>
        <w:t>E. 2</w:t>
      </w:r>
    </w:p>
    <w:p>
      <w:r>
        <w:t>Die Privatklägerschaft ist zur Beschwerde in Strafsachen legitimiert,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legt vor Bundesgericht nicht ansatzweise dar, dass ihm aufgrund des angezeigten Sachverhalts in Bezug auf die angebliche Nötigung vom 7. Mai 2020, den angeblichen Hausfriedensbruch vom 4. Mai 2020 und die angebliche Beschimpfung vom 8. Mai 2020 Zivilansprüche gegen C.B.________ zustehen könnten. Dies ist auch nicht ohne Weiteres ersichtlich. Der Beschwerdeführer behauptet insbesondere nicht, ihm sei ein Vermögensschaden entstanden. Eine Genugtuung nach Art. 49 OR ist zudem nur geschuldet, sofern die Schwere der Persönlichkeitsverletzung dies rechtfertigt, was vorliegend ebenfalls nicht nahe liegt. Dem Beschwerdeführer fehlt es demnach an der Beschwerdelegitimation in der Sache im Sinne von Art. 81 Abs. 1 lit. b Ziff. 5 BGG.</w:t>
      </w:r>
    </w:p>
    <w:p>
      <w:r>
        <w:rPr>
          <w:b/>
        </w:rPr>
        <w:t>E. 4</w:t>
      </w:r>
    </w:p>
    <w:p>
      <w:r>
        <w:t>Formelle Rügen, zu deren Geltendmachung der Beschwerdeführer unbesehen der fehlenden Legitimation in der Sache befugt wäre (sog. "Star-Praxis"; vgl. BGE 141 IV 1 E. 1.1 mit Hinweisen), erhebt er nicht. Die Rüge der Verletzung des Untersuchungsgrundsatzes, indem die Vorinstanz eine Strafbarkeit nach Art. 181 StGB , Art. 186 StGB und Art. 177 StGB nicht geprüft habe, ist materieller Natur.</w:t>
      </w:r>
    </w:p>
    <w:p>
      <w:r>
        <w:rPr>
          <w:b/>
        </w:rPr>
        <w:t>E. 5</w:t>
      </w:r>
    </w:p>
    <w:p>
      <w:r>
        <w:t>Auf die Beschwerde ist im Verfahren nach Art. 108 BGG nicht einzutreten. Die Gerichtskosten sind den Beschwerdeführern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