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338/2014 vom 30. September 2014</w:t>
      </w:r>
    </w:p>
    <w:p>
      <w:r>
        <w:t>Bundesgericht, 2014-09-30, FR</w:t>
      </w:r>
    </w:p>
    <w:p>
      <w:r>
        <w:rPr>
          <w:b/>
        </w:rPr>
        <w:t xml:space="preserve">Quelle: </w:t>
      </w:r>
      <w:r>
        <w:t>https://mcp.opencaselaw.ch/entscheid/bger_6B_338_2014</w:t>
      </w:r>
    </w:p>
    <w:p>
      <w:r>
        <w:t>FR: TF 6B 338/2014 du 30 septembre 2014</w:t>
      </w:r>
    </w:p>
    <w:p>
      <w:r>
        <w:t>IT: TF 6B 338/2014 del 30 settembre 2014</w:t>
      </w:r>
    </w:p>
    <w:p>
      <w:pPr>
        <w:pStyle w:val="Heading2"/>
      </w:pPr>
      <w:r>
        <w:t>Regeste</w:t>
      </w:r>
    </w:p>
    <w:p>
      <w:r>
        <w:t>Ordonnance de non-entrée en matière (escroquerie) | Procédure pénale</w:t>
      </w:r>
    </w:p>
    <w:p>
      <w:pPr>
        <w:pStyle w:val="Heading2"/>
      </w:pPr>
      <w:r>
        <w:t>Erwägungen</w:t>
      </w:r>
    </w:p>
    <w:p>
      <w:r>
        <w:rPr>
          <w:b/>
        </w:rPr>
        <w:t>E. 1</w:t>
      </w:r>
    </w:p>
    <w:p>
      <w:r>
        <w:t>Le Tribunal fédéral examine librement et d'office les conditions de recevabilité des recours qui lui sont soumis ( ATF 138 I 367 consid. 1 p. 369).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 Le recourant n'indique pas quelles prétentions civiles il entend faire valoir. S'il ressort de son mémoire qu'il se plaint de manière générale d'avoir été victime de pratiques trompeuses et déloyales de la part de l'intimée, celles-ci ont, selon les dires du recourant, été commises dans le contexte d'une relation contractuelle entre les protagonistes et ressortissent essentiellement au droit civil. Il n'apparaît pas d'emblée que la décision attaquée pourrait avoir un effet sur ses éventuelles prétentions civiles. Les explications données par le recourant sont insuffisantes à établir un lien entre une prétendue infraction et les prétentions civiles qui en découleraient. Le recourant n'expose pas quelles prétentions civiles il pourrait faire valoir directement contre l'intimée, personne morale, à raison d'une infraction pénale, ce qui impliquerait que celle-ci soit punissable et non une personne physique (cf. art. 102 CP ). Il n'indique pas non plus précisément quelles prétentions il pourrait faire valoir contre une personne physique. Il en résulte que le recourant n'a pas qualité pour recourir sur le fond.</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La recevabilité des griefs déduits du droit constitutionnel et conventionnel suppose l'articulation de critiques circonstanciées ( ATF 136 II 101 consid. 3, p. 104 s.), claires et précises, répondant aux exigences de motivation accrues déduites de l' art. 106 al. 2 LTF ( ATF 133 IV 286 consid. 1.4 p. 287). Le recourant se plaint d'un déni de justice, reprochant en substance à l'autorité cantonale, par une argumentation confuse et largement appellatoire, de ne pas s'être ralliée à sa propre version des faits. Sur ce point également, son recours est irrecevable faute d'une motivation satisfaisant aux exigences de l' art. 106 al. 2 LTF .</w:t>
      </w:r>
    </w:p>
    <w:p>
      <w:r>
        <w:rPr>
          <w:b/>
        </w:rPr>
        <w:t>E. 3</w:t>
      </w:r>
    </w:p>
    <w:p>
      <w:r>
        <w:t>Le recours est irrecevable. Il est écarté en application de l' art. 108 al. 1 let. a LTF et le recourant, qui succombe, supportera les frais judiciaires ( art. 66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