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6B_337/2019 vom 21. Mai 2019</w:t>
      </w:r>
    </w:p>
    <w:p>
      <w:r>
        <w:t>Bundesgericht, 2019-05-21, FR</w:t>
      </w:r>
    </w:p>
    <w:p>
      <w:r>
        <w:rPr>
          <w:b/>
        </w:rPr>
        <w:t xml:space="preserve">Quelle: </w:t>
      </w:r>
      <w:r>
        <w:t>https://mcp.opencaselaw.ch/entscheid/bger_6B_337_2019</w:t>
      </w:r>
    </w:p>
    <w:p>
      <w:r>
        <w:t>FR: TF 6B_337/2019 du 21 mai 2019</w:t>
      </w:r>
    </w:p>
    <w:p>
      <w:r>
        <w:t>IT: TF 6B_337/2019 del 21 maggio 2019</w:t>
      </w:r>
    </w:p>
    <w:p>
      <w:pPr>
        <w:pStyle w:val="Heading2"/>
      </w:pPr>
      <w:r>
        <w:t>Erwägungen</w:t>
      </w:r>
    </w:p>
    <w:p>
      <w:r>
        <w:rPr>
          <w:b/>
        </w:rPr>
        <w:t>E. 1.1</w:t>
      </w:r>
    </w:p>
    <w:p>
      <w:r>
        <w:t>Conformément à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La notion d'influence du jugement pénal sur les prétentions civiles est conçue strictement. La partie plaignante ne peut pas s'opposer à une décision parce qu'elle ne facilite pas son action sur le plan civil. Il faut que la décision attaquée ait pour conséquence qu'elle rencontrera plus de difficultés à faire valoir ses prétentions civiles (arrêt 6B_405/2018 du 7 août 2018 consid. 1.1 et les références citées; ATF 127 IV 185 consid. 1a p. 188). Enfin, 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pas être séparés du fond (cf. ATF 141 IV 1 consid. 1.1 p. 5).</w:t>
      </w:r>
    </w:p>
    <w:p>
      <w:r>
        <w:t>Selon l' art. 42 al. 1 LTF , il incombe au recourant d'alléguer les faits qu'il considère comme propres à fonder sa qualité pour recourir ( ATF 138 III 537 consid. 1.2 p. 539; 133 II 353 consid. 1 p. 356). Lorsque, comme en l'espèce,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 et les références citées).</w:t>
      </w:r>
    </w:p>
    <w:p>
      <w:r>
        <w:rPr>
          <w:b/>
        </w:rPr>
        <w:t>E. 1.2</w:t>
      </w:r>
    </w:p>
    <w:p>
      <w:r>
        <w:t>Le recourant expose seulement que l'arrêt attaqué maintient l'ordonnance de non-entrée en matière partielle sur une partie prépondérante de l'activité délictuelle du prévenu, laquelle a causé la majeure partie du dommage subi, qui s'élève à 591'202 fr. 10 pour lui et 707'423 fr. 80 pour sa mère. Il ne montre pas pourquoi le dommage allégué résulterait directement des infractions dénoncées et en quoi le refus d'entrer en matière sur une partie de celles-ci serait propre à avoir une influence négative sur le sort de ses prétentions civiles. Cette motivation n'est pas suffisante pour satisfaire aux exigences rappelées ci-dessus. Par ailleurs, il ressort des constatations de l'arrêt attaqué que le dommage invoqué par le recourant, en son nom propre comme en celui de sa défunte mère, résulterait de l'inexécution ou de la mauvaise exécution du mandat qu'ils avaient confié à l'intimé, de sorte que le litige apparaît essentiellement de nature civile. Dans ces circonstances, le recourant ne dispose pas de la qualité pour recourir sur le fond.</w:t>
      </w:r>
    </w:p>
    <w:p>
      <w:r>
        <w:rPr>
          <w:b/>
        </w:rPr>
        <w:t>E. 1.3</w:t>
      </w:r>
    </w:p>
    <w:p>
      <w:r>
        <w:t>L'hypothèse visée à l'art. 81 al. 1 let. b ch. 6 LTF n'entre pas en considération, le recourant ne soulevant aucun grief relatif à son droit de porter plainte.</w:t>
      </w:r>
    </w:p>
    <w:p>
      <w:r>
        <w:rPr>
          <w:b/>
        </w:rPr>
        <w:t>E. 1.4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et les références citées). Le recourant ne fait pas valoir de tels griefs en l'espèce.</w:t>
      </w:r>
    </w:p>
    <w:p>
      <w:r>
        <w:rPr>
          <w:b/>
        </w:rPr>
        <w:t>E. 2</w:t>
      </w:r>
    </w:p>
    <w:p>
      <w:r>
        <w:t>Au vu de ce qui précède, le recours doit être déclaré irrecevable selon la procédure simplifiée prévue par l' art. 108 al. 1 let. a LTF sans qu'il y ait lieu d'examiner si le recourant était légitimé à recourir en qualité d'héritier unique de la succession de feu Y.________.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