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337/2015 vom 5. Juni 2015</w:t>
      </w:r>
    </w:p>
    <w:p>
      <w:r>
        <w:t>Bundesgericht, 2015-06-05, FR</w:t>
      </w:r>
    </w:p>
    <w:p>
      <w:r>
        <w:rPr>
          <w:b/>
        </w:rPr>
        <w:t xml:space="preserve">Quelle: </w:t>
      </w:r>
      <w:r>
        <w:t>https://mcp.opencaselaw.ch/entscheid/bger_6B_337_2015</w:t>
      </w:r>
    </w:p>
    <w:p>
      <w:r>
        <w:t>FR: TF 6B 337/2015 du 5 juin 2015</w:t>
      </w:r>
    </w:p>
    <w:p>
      <w:r>
        <w:t>IT: TF 6B 337/2015 del 5 giugno 2015</w:t>
      </w:r>
    </w:p>
    <w:p>
      <w:pPr>
        <w:pStyle w:val="Heading2"/>
      </w:pPr>
      <w:r>
        <w:t>Regeste</w:t>
      </w:r>
    </w:p>
    <w:p>
      <w:r>
        <w:t>Violation simple des règles de la circulation, arbitraire, fixation de la peine | Infractions</w:t>
      </w:r>
    </w:p>
    <w:p>
      <w:pPr>
        <w:pStyle w:val="Heading2"/>
      </w:pPr>
      <w:r>
        <w:t>Erwägungen</w:t>
      </w:r>
    </w:p>
    <w:p>
      <w:r>
        <w:rPr>
          <w:b/>
        </w:rPr>
        <w:t>E. 1</w:t>
      </w:r>
    </w:p>
    <w:p>
      <w:r>
        <w:t>L'objet du litige est circonscrit par le jugement attaqué, de sorte que les considérations du recourant relatives au non-renouvellement de son autorisation de travailler comme chauffeur de taxi sont irrecevables ( art. 80 al. 1 LTF ).</w:t>
      </w:r>
    </w:p>
    <w:p>
      <w:r>
        <w:rPr>
          <w:b/>
        </w:rPr>
        <w:t>E. 2.1</w:t>
      </w:r>
    </w:p>
    <w:p>
      <w:r>
        <w:t>Le recourant fait valoir qu'il serait habilité à conduire un véhicule automobile sans équipement particulier, se prévalant de certificats médicaux attestant de son aptitude à conduire sans restrictions médicales ni port de lunettes. Il conteste également avoir tenté de se garer en heurtant d'autres automobiles, arguant du fait que les capteurs sonores de son véhicule n'avaient pas retenti et qu'il n'avait fait l'objet d'aucune demande d'indemnisation. Ce faisant, il se plaint d'une constatation manifestement inexacte et incomplète des faits.</w:t>
      </w:r>
    </w:p>
    <w:p>
      <w:r>
        <w:rPr>
          <w:b/>
        </w:rPr>
        <w:t>E. 2.2</w:t>
      </w:r>
    </w:p>
    <w:p>
      <w:r>
        <w:t>Le Tribunal fédéral conduit son raisonnement sur la base des faits établis par la juridiction précédente ( art. 105 al. 1 LTF ). Il ne peut s'en écarter que si ces faits ont été établis de façon manifestement inexacte - à savoir 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4.2 p. 266; 137 II 353 consid. 5.1 p. 356; 133 III 393 consid. 6 p. 397).</w:t>
      </w:r>
    </w:p>
    <w:p>
      <w:r>
        <w:rPr>
          <w:b/>
        </w:rPr>
        <w:t>E. 2.3</w:t>
      </w:r>
    </w:p>
    <w:p>
      <w:r>
        <w:t>En l'occurrence, le recourant conteste le contenu de son permis de conduire, soit d'une décision administrative que le juge pénal n'est pas légitimé à mettre en cause. En outre, il ne démontre pas en quoi la juridiction cantonale aurait faussement retranscrit le contenu de son permis de conduire, en particulier de l'annexe à celui-ci du 22 août 1997 aux termes de laquelle il n'est autorisé à conduire que des véhicules équipés d'une direction assistée avec boule au volant, de commutateurs de feux, de clignotants, d'avertisseurs sonores ainsi que d'essuie-glaces pouvant être actionnés sans lâcher le volant, d'une commande complémentaire de démarreur à droite et d'un changement de vitesses automatique. Il met également en cause les déclarations de l'agent de police ayant attesté de la tentative de parcage litigieuse sans démontrer en quoi la juridiction cantonale aurait procédé à une appréciation insoutenable du rapport de police établi le 26 novembre 2013 ainsi que du témoignage du conducteur de bus sur lesquels elle s'est fondée. Il se contente de discuter librement les faits constatés et de substituer son appréciation des circonstances à celle retenue en instance cantonale. Pareille motivation est appellatoire et ne répond pas aux exigences accrues de motivation susmentionnées, de sorte qu'elle est irrecevable.</w:t>
      </w:r>
    </w:p>
    <w:p>
      <w:r>
        <w:rPr>
          <w:b/>
        </w:rPr>
        <w:t>E. 3</w:t>
      </w:r>
    </w:p>
    <w:p>
      <w:r>
        <w:t>Le recourant conteste sa condamnation pour avoir effectué une course privée sans tachygraphe. Il considère que l'obligation de faire usage du tachygraphe ne saurait lui être opposée dès lors qu'il n'était pas autorisé à travailler comme chauffeur de taxi et qu'il effectuait une course privée. Le recourant ne conteste pas l'application in casu de l'OTR2 (cf. art. 1-4 OTR2). Selon le texte clair de l'art. 15 al. 2 OTR2, le tachygraphe doit être maintenu continuellement en fonction lorsque des courses de caractère privé sont effectuées avec le véhicule; il faut choisir la position «Pause» (position «0» ou symbole «chaise»). Si la position pause ne permet pas de distinguer clairement entre les courses privées et professionnelles, le conducteur tiendra un contrôle permanent des courses privées qu'il effectue. Cela étant, la condamnation du recourant pour n'avoir pas maintenu le tachygraphe en fonction durant une course privée n'est pas critiquable, étant précisé que sa condamnation pour avoir exercé sans autorisation son métier de chauffeur de taxi n'interdit pas de lui opposer l'obligation de faire usage du tachygraphe.</w:t>
      </w:r>
    </w:p>
    <w:p>
      <w:r>
        <w:rPr>
          <w:b/>
        </w:rPr>
        <w:t>E. 4</w:t>
      </w:r>
    </w:p>
    <w:p>
      <w:r>
        <w:t>Le recourant conteste le montant de l'amende qu'il estime exorbitante et injustifiée, cela d'autant plus qu'il ne peut plus travailler et que sa situation financière est particulièrement précaire.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Par conséquent, le Tribunal fédéral, qui examine l'ensemble de la question d'office ( art. 106 al. 1 LTF ), n'intervient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S'agissant plus précisément de la peine d'amende, l' art. 106 al. 3 CP prescrit au juge de fixer celle-ci ainsi que la peine privative de liberté de substitution en tenant compte de la situation de l'auteur, afin que la peine corresponde à la faute commise.</w:t>
      </w:r>
    </w:p>
    <w:p>
      <w:r>
        <w:rPr>
          <w:b/>
        </w:rPr>
        <w:t>E. 4.2</w:t>
      </w:r>
    </w:p>
    <w:p>
      <w:r>
        <w:t>La cour cantonale a considéré que la culpabilité du recourant n'était pas négligeable. Il devait répondre de plusieurs infractions relevant toutes du même ordre. Les réitérations étaient multiples. Il n'avait procédé à aucune prise de conscience, persistant à nier le caractère répréhensible de ses agissements et avertissant qu'il continuerait à travailler comme chauffeur de taxi, même sans y être autorisé. Ces éléments conduisaient à une peine sévère, qu'il convenait néanmoins de relativiser au regard de sa précarité financière. L'amende prononcée en première instance à hauteur de 1'400 francs paraissait adéquate à l'aune des ordonnances pénales prononcées contre le recourant les 24 décembre 2013, 17 février et 27 mars 2014.</w:t>
      </w:r>
    </w:p>
    <w:p>
      <w:r>
        <w:rPr>
          <w:b/>
        </w:rPr>
        <w:t>E. 4.3</w:t>
      </w:r>
    </w:p>
    <w:p>
      <w:r>
        <w:t>Contrairement à son devoir de motivation (cf. art. 42 al. 2 LTF ), le recourant ne se détermine pas sur les considérations cantonales susmentionnées. En particulier, il ne fait pas valoir que la cour cantonale aurait fixé le montant de l'amende sans prendre en compte certains critères déterminants en la matière ou qu'elle y aurait au contraire inclus des éléments étrangers. Il se contente d'évoquer la précarité de sa situation financière, alors que la juridiction cantonale a expressément indiqué qu'il convenait d'en tenir compte dans une large mesure. Le montant de l'amende prononcée - qui n'atteint de loin pas le maximum de 10'000 francs prévu par la loi ( art. 106 al. 1 CP ) - se situe dans le cadre légal et a été fixé sur la base de critères pertinents. La quotité de l'amende ne viole donc en rien l' art. 47 CP ou l' art. 106 CP . En outre, bien que le recourant perçoive 1'210 francs d'AVS sans deuxième pilier et soit grevé de quelque 54'000 francs de dettes, le montant de 1'400 francs n'apparaît pas exagérément sévère en regard d'infractions répétées. Supposé recevable, le grief doit par conséquent être rejeté.</w:t>
      </w:r>
    </w:p>
    <w:p>
      <w:r>
        <w:rPr>
          <w:b/>
        </w:rPr>
        <w:t>E. 5</w:t>
      </w:r>
    </w:p>
    <w:p>
      <w:r>
        <w:t>Comme les conclusions du recours étaient dépourvues de chances de succès, l'assistance judiciaire ne peut être accordée ( art. 64 al. 1 LTF ). Le recourant, qui succombe, devra supporter les frais judiciaires ( art. 66 al. 1 LTF ), réduits afin de tenir de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