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6B_336/2008 vom 23. Juni 2008</w:t>
      </w:r>
    </w:p>
    <w:p>
      <w:r>
        <w:t>Bundesgericht, 2008-06-23, FR</w:t>
      </w:r>
    </w:p>
    <w:p>
      <w:r>
        <w:rPr>
          <w:b/>
        </w:rPr>
        <w:t xml:space="preserve">Quelle: </w:t>
      </w:r>
      <w:r>
        <w:t>https://mcp.opencaselaw.ch/entscheid/bger_6B_336_2008</w:t>
      </w:r>
    </w:p>
    <w:p>
      <w:r>
        <w:t>FR: TF 6B_336/2008 du 23 juin 2008</w:t>
      </w:r>
    </w:p>
    <w:p>
      <w:r>
        <w:t>IT: TF 6B_336/2008 del 23 giugno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vertu de l' art. 42 al. 1 et 2 LTF , le recourant doit, à peine d'irrecevabilité ( art. 108 al. 1 let. b et 117 LTF ), motiver son recours en exposant succinctement en quoi la décision attaquée viole le droit. Lorsque la décision attaquée comporte plusieurs motivations indépendantes et suffisantes à sceller le sort du grief, il incombe dès lors au recourant, sous peine d'irrecevabilité, de démontrer que chacune d'elles est contraire au droit ( ATF 133 IV 119 consid. 6.3 p. 120 s.).</w:t>
      </w:r>
    </w:p>
    <w:p>
      <w:r>
        <w:t>En l'espèce, le recourant ne formule aucune critique contre le raisonnement par lequel la cour cantonale est arrivée à la conclusion (principale) que le recours cantonal était irrecevable au regard des règles de forme posées par l' art. 192 CPP /GE. Le présent recours, insuffisamment motivé, doit dès lors être déclaré irrecevable ( art. 108 al. 1 let. b LTF ).</w:t>
      </w:r>
    </w:p>
    <w:p>
      <w:r>
        <w:rPr>
          <w:b/>
        </w:rPr>
        <w:t>E. 2</w:t>
      </w:r>
    </w:p>
    <w:p>
      <w:r>
        <w:t>Le recourant, qui succombe, doit supporter les frais de justice ( art. 66 al. 1 LTF ).</w:t>
      </w:r>
    </w:p>
    <w:p>
      <w:r>
        <w:t>Par ces motifs, le Juge unique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