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6B_334/2023 vom 16. August 2023</w:t>
      </w:r>
    </w:p>
    <w:p>
      <w:r>
        <w:t>Bundesgericht, 2023-08-16, FR</w:t>
      </w:r>
    </w:p>
    <w:p>
      <w:r>
        <w:rPr>
          <w:b/>
        </w:rPr>
        <w:t xml:space="preserve">Quelle: </w:t>
      </w:r>
      <w:r>
        <w:t>https://mcp.opencaselaw.ch/entscheid/bger_6B_334_2023</w:t>
      </w:r>
    </w:p>
    <w:p>
      <w:r>
        <w:t>FR: TF 6B_334/2023 du 16 août 2023</w:t>
      </w:r>
    </w:p>
    <w:p>
      <w:r>
        <w:t>IT: TF 6B_334/2023 del 16 agosto 2023</w:t>
      </w:r>
    </w:p>
    <w:p>
      <w:pPr>
        <w:pStyle w:val="Heading2"/>
      </w:pPr>
      <w:r>
        <w:t>Erwägungen</w:t>
      </w:r>
    </w:p>
    <w:p>
      <w:r>
        <w:rPr>
          <w:b/>
        </w:rPr>
        <w:t>E. 1</w:t>
      </w:r>
    </w:p>
    <w:p>
      <w:r>
        <w:t>Invoquant les art. 29 et 30 Cst. , la recourante se plaint de n'avoir été informée qu'à la lecture du jugement du 24 janvier 2023 du retrait de l'appel de l'intimée et fait valoir qu'en poursuivant la procédure d'appel malgré celui-ci, la cour cantonale aurait violé le code de procédure pénale.</w:t>
      </w:r>
    </w:p>
    <w:p>
      <w:r>
        <w:t>En l'espèce, l'argumentation de la recourante se fonde sur la prémisse erronée que le courrier du 30 août 2022 de l'intimée constituait un retrait définitif de l'appel de celle-ci, issue de sa propre interprétation du courrier en cause. Tel n'était en l'occurrence pas le cas, l'intimée n'ayant pas expressément indiqué retirer son appel dans le courrier en question (cf. consid. B.b</w:t>
      </w:r>
    </w:p>
    <w:p>
      <w:r>
        <w:t>supra ; ATF 141 IV 269 consid. 2.1 p. 270). Mal fondé, le grief doit être rejeté.</w:t>
      </w:r>
    </w:p>
    <w:p>
      <w:r>
        <w:rPr>
          <w:b/>
        </w:rPr>
        <w:t>E. 2</w:t>
      </w:r>
    </w:p>
    <w:p>
      <w:r>
        <w:t>En tant que la recourante conteste avoir provoqué l'ouverture de la procédure de manière illicite et fautive, elle critique en réalité l'appréciation des preuves à laquelle a procédé la cour cantonale s'agissant de sa condamnation pour violation de domicile et contrainte. Son grief se recoupe donc avec le grief d'arbitraire traité ci-dessous (cf. consid. 3</w:t>
      </w:r>
    </w:p>
    <w:p>
      <w:r>
        <w:t>infra ).</w:t>
      </w:r>
    </w:p>
    <w:p>
      <w:r>
        <w:rPr>
          <w:b/>
        </w:rPr>
        <w:t>E. 3</w:t>
      </w:r>
    </w:p>
    <w:p>
      <w:r>
        <w:t>La recourante invoque l'arbitraire dans l'établissement des faits et l'appréciation des preuves et la violation du principe</w:t>
      </w:r>
    </w:p>
    <w:p>
      <w:r>
        <w:t>in dubio pro reo .</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114 consid. 2.1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6B_1389/2022 du 14 mars 2023 consid. 1.2; 6B_37/2022 du 9 février 2023 consid. 1.1; 6B_233/2022 du 12 janvier 2023 consid. 2.1.1).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w:t>
      </w:r>
    </w:p>
    <w:p>
      <w:r>
        <w:rPr>
          <w:b/>
        </w:rPr>
        <w:t>E. 3.2</w:t>
      </w:r>
    </w:p>
    <w:p>
      <w:r>
        <w:t>La recourante reproche à la cour cantonale d'avoir versé dans l'arbitraire en retenant qu'en février 2019, elle n'était pas autorisée à entrer dans l'appartement qu'elle sous-louait à l'intimée.</w:t>
      </w:r>
    </w:p>
    <w:p>
      <w:r>
        <w:rPr>
          <w:b/>
        </w:rPr>
        <w:t>E. 3.3</w:t>
      </w:r>
    </w:p>
    <w:p>
      <w:r>
        <w:t>La cour cantonale a constaté que les parties n'avaient manifestement pas réussi à convenir d'une résiliation anticipée du bail, la recourante ayant refusé, par son courrier du 25 janvier 2019, la résiliation proposée par l'intimée à fin janvier 2019. Elle a également constaté que si l'intimée avait intégré à cette période un appartement en France, ne conservant celui de Genève qu'en résidence secondaire, elle n'avait toutefois pas quitté définitivement les lieux après le mois de janvier 2019, ce que la recourante avait admis à demi-mot puisqu'elle lui avait reproché de ne pas s'être acquittée des loyers de février et mars 2019 et de ne pas avoir procédé au nettoyage final avant qu'elle ne reprenne possession des lieux. La cour cantonale en a déduit que le bail n'avait pas pris fin au 31 janvier 2019. Dans ces conditions, la recourante n'était pas autorisée à pénétrer dans l'appartement en février 2019 sans l'accord de la sous-locataire. La demande de la régie qui visait à pouvoir organiser une visite de l'appartement au mois de février 2019 ne l'autorisait pas à entrer dans le logement à l'insu et contre le gré de la sous-locataire. Il lui incombait de transmettre cette information à l'intimée, ce qu'elle aurait aisément pu faire dès lors que les parties correspondaient par courriel et par messagerie téléphonique. Le fait que l'appartement semblait inoccupé ne justifiait pas non plus, en l'absence de toute urgence, que la recourante y entra sans autorisation. En procédant de la sorte, la recourante s'était rendue coupable de violation de domicile. Par ailleurs, en changeant les serrures de l'appartement pour empêcher sa sous-locataire d'y pénétrer et en mettant de la sorte,</w:t>
      </w:r>
    </w:p>
    <w:p>
      <w:r>
        <w:t>de facto , une fin prématurée au contrat de bail, elle avait entravé l'intimée dans la jouissance de son bien et s'était ainsi également rendu coupable de contrainte ( art. 181 CP ).</w:t>
      </w:r>
    </w:p>
    <w:p>
      <w:r>
        <w:rPr>
          <w:b/>
        </w:rPr>
        <w:t>E. 3.4</w:t>
      </w:r>
    </w:p>
    <w:p>
      <w:r>
        <w:t>La recourante conteste cette appréciation. Selon elle, le contrat de bail avait pris fin au 31 janvier 2019. Or en tant qu'elle conteste à cet égard avoir refusé la résiliation anticipée du bail au 31 janvier 2019, elle se contente d'opposer sa propre interprétation du courrier du 25 janvier 2019 à celle de la cour cantonale dans une démarche purement appellatoire, partant irrecevable. C'est par ailleurs en vain qu'elle se prévaut de pièces démontrant la volonté initiale de l'intimée de résilier le bail au 31 janvier 2019. Ce faisant, elle échoue en effet à démontrer que l'autorité cantonale aurait arbitrairement retenu que le bail n'avait toutefois manifestement pas pris fin à cette date. En tant qu'elle semble reprocher à la juridiction précédente d'avoir versé dans l'arbitraire en n'admettant pas une erreur de sa part sur ce point, elle ne saurait davantage être suivie. La décision de l'intimée de - finalement - résilier le bail au 31 mars 2019 était dénuée d'ambiguïté. En effet, le courrier du 30 janvier 2019 par lequel elle a indiqué que "dans la mesure où la recourante ne s'était pas déterminée sur la libération anticipée du bail, elle comprenait qu'elle ne souhaitait pas le libérer fin janvier 2019 et résiliait donc son contrat de bail au 31 mars 2019 afin de respecter le préavis de 2 mois", n'était pas sujet à interprétation. De plus, l'intimée ne s'était pas présentée à l'état des lieux de sortie organisé par la recourante fin janvier 2019 et n'avait pas définitivement quitté l'appartement à cette date, ce que la recourante ne saurait prétendre qu'elle ignorait dès lors qu'elle lui a reproché de ne pas s'être acquittée des loyers de février et mars 2019. Le fait qu'elle n'aurait communiqué plus qu'oralement avec l'intimée dès le mois de janvier 2019 est dénué de toute pertinence et ne lui est, partant, d'aucun secours. ll en va de même des déclarations prétendument inconstantes de l'intimée, la cour cantonale s'étant basée sur les pièces du dossier pour retenir que le bail n'avait pas pris fin au 31 janvier 2019. Pour le surplus, en tant que la recourante soutient qu'il y aurait eu urgence à pénétrer dans l'appartement, elle se borne à livrer une appréciation personnelle de la situation en sortant de leur contexte des éléments de fait du dossier. Un tel procédé, purement appellatoire, est irrecevable.</w:t>
      </w:r>
    </w:p>
    <w:p>
      <w:r>
        <w:t>Il s'ensuit que la cour cantonale n'a pas fait preuve d'arbitraire ni violé le principe</w:t>
      </w:r>
    </w:p>
    <w:p>
      <w:r>
        <w:t>in dubio pro reo en retenant qu'en février 2019, la recourante n'était pas autorisée à entrer dans l'appartement, sis xx, boulevard U.________ à Genève, qu'elle sous-louait à B.________, sans l'accord de celle-ci. Mal fondé, le grief doit être rejeté dans la mesure où il est recevable.</w:t>
      </w:r>
    </w:p>
    <w:p>
      <w:r>
        <w:rPr>
          <w:b/>
        </w:rPr>
        <w:t>E. 4</w:t>
      </w:r>
    </w:p>
    <w:p>
      <w:r>
        <w:t>Pour le surplus, la recourante ne conteste pas la qualification juridique des infractions retenues, pas davantage que la peine, sur lesquelles il n'y a donc pas lieu de revenir.</w:t>
      </w:r>
    </w:p>
    <w:p>
      <w:r>
        <w:rPr>
          <w:b/>
        </w:rPr>
        <w:t>E. 5</w:t>
      </w:r>
    </w:p>
    <w:p>
      <w:r>
        <w:t>La conclusion de la recourante tendant à l'octroi d'une indemnité équitable fondée sur l' art. 429 CPP est sans objet dans la mesure où elle suppose l'acquittement des infractions reprochées, qu'elle n'obtient pas.</w:t>
      </w:r>
    </w:p>
    <w:p>
      <w:r>
        <w:rPr>
          <w:b/>
        </w:rPr>
        <w:t>E. 6</w:t>
      </w:r>
    </w:p>
    <w:p>
      <w:r>
        <w:t>Compte tenu de ce qui précède, le recours doit être rejeté dans la mesure où il est recevable. La recourante, qui succombe, supporte les frais judiciaires ( art. 66 al. 1 LTF ). 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