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334/2016 vom 20. Mai 2016</w:t>
      </w:r>
    </w:p>
    <w:p>
      <w:r>
        <w:t>Bundesgericht, 2016-05-20, FR</w:t>
      </w:r>
    </w:p>
    <w:p>
      <w:r>
        <w:rPr>
          <w:b/>
        </w:rPr>
        <w:t xml:space="preserve">Quelle: </w:t>
      </w:r>
      <w:r>
        <w:t>https://mcp.opencaselaw.ch/entscheid/bger_6B_334_2016</w:t>
      </w:r>
    </w:p>
    <w:p>
      <w:r>
        <w:t>FR: TF 6B 334/2016 du 20 mai 2016</w:t>
      </w:r>
    </w:p>
    <w:p>
      <w:r>
        <w:t>IT: TF 6B 334/2016 del 20 maggio 2016</w:t>
      </w:r>
    </w:p>
    <w:p>
      <w:pPr>
        <w:pStyle w:val="Heading2"/>
      </w:pPr>
      <w:r>
        <w:t>Regeste</w:t>
      </w:r>
    </w:p>
    <w:p>
      <w:r>
        <w:t>Ordonnance de non-entrée en matière (faux dans les titres, abus d'autorité et d'injure), recours au Tribunal fédéral, avance de frais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l'arrêt mentionné sous rubrique. Invité une première fois à verser une avance de frais de 800 francs conformément à l' art. 62 al. 1 LTF , il ne s'est pas exécuté. Par ordonnance du 25 avril 2016, le Président de la Cour de céans lui a imparti, pour ce faire, un délai supplémentaire jusqu'au 10 mai 2016, avec l'indication qu'à défaut de paiement en temps utile, le recours serait irrecevable. L'intéressé n'ayant donné aucune suite ni en particulier effectué l'avance de frais requise dans le délai supplémentaire imparti ( art. 48 al. 4 LTF ), il y a lieu de déclarer son recours irrecevable ( art. 62 al. 3 LTF ) en application de l' art. 108 al. 1 let. a LTF .</w:t>
      </w:r>
    </w:p>
    <w:p>
      <w:r>
        <w:rPr>
          <w:b/>
        </w:rPr>
        <w:t>E. 2</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