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334/2009 vom 20. Juli 2009</w:t>
      </w:r>
    </w:p>
    <w:p>
      <w:r>
        <w:t>Bundesgericht, 2009-07-20, FR</w:t>
      </w:r>
    </w:p>
    <w:p>
      <w:r>
        <w:rPr>
          <w:b/>
        </w:rPr>
        <w:t xml:space="preserve">Quelle: </w:t>
      </w:r>
      <w:r>
        <w:t>https://mcp.opencaselaw.ch/entscheid/bger_6B_334_2009</w:t>
      </w:r>
    </w:p>
    <w:p>
      <w:r>
        <w:t>FR: TF 6B 334/2009 du 20 juillet 2009</w:t>
      </w:r>
    </w:p>
    <w:p>
      <w:r>
        <w:t>IT: TF 6B 334/2009 del 20 luglio 2009</w:t>
      </w:r>
    </w:p>
    <w:p>
      <w:pPr>
        <w:pStyle w:val="Heading2"/>
      </w:pPr>
      <w:r>
        <w:t>Regeste</w:t>
      </w:r>
    </w:p>
    <w:p>
      <w:r>
        <w:t>Fixation de la peine (brigandage) | Droit pénal (en général)</w:t>
      </w:r>
    </w:p>
    <w:p>
      <w:pPr>
        <w:pStyle w:val="Heading2"/>
      </w:pPr>
      <w:r>
        <w:t>Erwägungen</w:t>
      </w:r>
    </w:p>
    <w:p>
      <w:r>
        <w:rPr>
          <w:b/>
        </w:rPr>
        <w:t>E. 1</w:t>
      </w:r>
    </w:p>
    <w:p>
      <w:r>
        <w:t>Le recourant conteste la peine qui lui a été infligée. 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2.1</w:t>
      </w:r>
    </w:p>
    <w:p>
      <w:r>
        <w:t>Dans un premier moyen, le recourant reproche à la cour cantonale d'avoir retenu ses dénégations comme élément à charge. De son avis, le refus de collaborer ou d'admettre les faits ne saurait avoir une influence sur la peine. Il est vrai que le droit de se taire fait partie des normes internationales généralement reconnues qui se trouvent au coeur de la notion de procès équitable, selon l' art. 6 par. 1 CEDH (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 ATF 118 IV 21 consid. 2b p. 25; cf. aussi arrêt non publié du 11 mai 1995 du Tribunal fédéral 6S.686/1994; ATF 113 IV 56 consid. 4c p. 57). En l'espèce, la cour cantonale a estimé que les dénégations du recourant étaient révélatrices de son caractère. Selon elle, par son déni, il montrait qu'il n'avait pas pris conscience de l'illicéité de son acte. Au vu de la jurisprudence susmentionnée, la cour cantonale était fondée à tenir compte du comportement du recourant postérieur à l'acte pour déterminer sa situation personnelle. De la sorte, elle s'est prononcée sur une question de fait, que la cour de céans ne peut revoir, à moins que les faits aient été établis de façon manifestement inexacte ou en violation du droit au sens de l' art. 95 LTF , ce qui n'est pas le cas en l'espèce ( art. 97 al. 1 et 105 LTF ). Mal fondé, le grief soulevé doit être rejeté.</w:t>
      </w:r>
    </w:p>
    <w:p>
      <w:r>
        <w:rPr>
          <w:b/>
        </w:rPr>
        <w:t>E. 2.2</w:t>
      </w:r>
    </w:p>
    <w:p>
      <w:r>
        <w:t>Dans un second moyen, le recourant reproche à la cour cantonale d'avoir éludé deux éléments à décharge importants, à savoir un rapport de détention et un rapport de son médecin-traitant.</w:t>
      </w:r>
    </w:p>
    <w:p>
      <w:r>
        <w:rPr>
          <w:b/>
        </w:rPr>
        <w:t>E. 2.2.1</w:t>
      </w:r>
    </w:p>
    <w:p>
      <w:r>
        <w:t>Le 3 novembre 2008, la Direction de la prison du Bois-Mermet a établi un rapport de détention sur le compte du recourant. En général, un bon comportement en prison est considéré comme un signe d'amendement et de prise de conscience de l'illicéité des actes incriminés. La cour cantonale explique cependant que le rapport de détention ne pouvait pas avoir cette portée dans le cas particulier. En effet, les autres éléments du dossier, notamment les dénégations du recourant et ses explications fantaisistes, manifestent clairement une absence de prise de conscience de l'illicéité de ses actes. La cour cantonale n'a ainsi pas omis de tenir compte du rapport de détention, mais a jugé qu'il n'était pas propre à établir une prise de conscience et un repentir chez le recourant. Ce faisant, elle s'est déterminée sur la situation personnelle du recourant, laquelle relève de l'établissement des faits, qui - comme vu au considérant précédent - lie la cour de céans. Infondé, le grief soulevé doit être rejeté.</w:t>
      </w:r>
    </w:p>
    <w:p>
      <w:r>
        <w:rPr>
          <w:b/>
        </w:rPr>
        <w:t>E. 2.2.2</w:t>
      </w:r>
    </w:p>
    <w:p>
      <w:r>
        <w:t>Le recourant se prévaut d'un rapport médical, qui mentionne un trouble dépressif lié à des soucis (maladie de la mère et décès du grand-père). De son avis, si l'on rapproche cet état dépressif du fait qu'il était criblé de dettes, sa liberté de décision face au comportement délictueux aurait été très restreinte. La cour cantonale a cependant retenu que le trouble dépressif dont souffrait le recourant était de peu de gravité vu que celui-ci n'avait même pas jugé utile de suivre un traitement auprès de son médecin ou d'un autre praticien. Elle a donc refusé de tenir compte de cet état dans un sens atténuant. Ce faisant, elle n'a pas violé le droit fédéral. En effet, seul un état dépressif d'une certaine gravité est propre à entraîner une diminution de la responsabilité et, partant, une atténuation de la peine. Mal fondé, le grief soulevé doit être rejeté.</w:t>
      </w:r>
    </w:p>
    <w:p>
      <w:r>
        <w:rPr>
          <w:b/>
        </w:rPr>
        <w:t>E. 2.3</w:t>
      </w:r>
    </w:p>
    <w:p>
      <w:r>
        <w:t>Dans un troisième moyen, le recourant fait valoir une inégalité de traitement. Selon lui, sa peine serait excessive en comparaison de celle infligée dans des cas comparables. Le recourant mentionne quatre arrêts du Tribunal fédéral. Il se réfère d'abord à une affaire vaudoise où l'auteur a été condamné à une peine de dix ans pour avoir braqué la succursale d'une banque; le brigand avait fait le guet à l'extérieur, pendant que son comparse prenait en otage une employée de la banque, en lui mettant un couteau sous la gorge (arrêt du 18 juin 2007, 6P.55/2007). Dans la seconde affaire citée par le recourant, l'auteur a été condamné à une peine privative de liberté de deux ans et demi pour avoir attaqué, en compagnie de deux comparses, un chauffeur de taxi, en lui apposant une machette sur le cou, et lui avoir dérobé 62 fr. 20 (arrêt du 6 février 2008 6B_710/2007). Dans le troisième cas, une peine de 56 mois a été infligée à un auteur qui s'était rendu coupable de deux brigandages, les deux fois muni d'un cutter et d'un pistolet (arrêt du 13 mai 2008 6B_230/2008). Enfin, dans le dernier arrêt, l'auteur a été frappé d'une peine de cinq ans pour avoir agressé un couple de personnes âgées chez elles, puis les avoir abandonnées dans un endroit isolé, attachées, la porte d'entrée restant ouverte en plein hiver (arrêt du 27 novembre 2008 6B_725/2008).</w:t>
      </w:r>
    </w:p>
    <w:p>
      <w:r>
        <w:rPr>
          <w:b/>
        </w:rPr>
        <w:t>E. 2.3.1</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 ATF 123 IV 150 consid. 2a p. 152 s.). La première affaire n'est pas pertinente, puisque l'auteur a été condamné à une peine bien supérieure à celle infligée au recourant (6P_55/2007). Une comparaison est impossible avec la troisième, car l'arrêt attaqué ne fournit pas de renseignements sur la situation personnelle du brigand (6B_230/2008). Dans les deux autres cas, cités par le recourant, les circonstances, tant objectives que subjectives, qui sont déterminantes pour fixer la peine, sont totalement différentes de celles du présent cas. Dans l'arrêt 6B_710/2007, les comparses avaient agi spontanément et le brigandage n'avait porté que sur un faible butin; sur le plan personnel, l'auteur n'avait pas cherché à diluer sa responsabilité et avait bénéficié d'une responsabilité légèrement diminuée, ce qui n'est pas le cas du recourant. Dans la dernière affaire (6B_725/2008), l'auteur, qui a été condamné à une peine légèrement inférieure à celle du recourant, avait collaboré à l'enquête et pris conscience de l'illicéité de ses actes; il avait été admis qu'il était immature au moment des faits et que le pronostic était bon. Le grief soulevé par le recourant doit donc être rejeté.</w:t>
      </w:r>
    </w:p>
    <w:p>
      <w:r>
        <w:rPr>
          <w:b/>
        </w:rPr>
        <w:t>E. 2.3.2</w:t>
      </w:r>
    </w:p>
    <w:p>
      <w:r>
        <w:t>Le recourant se plaint également d'une inégalité de traitement d'avec son comparse, qui n'a été condamné qu'à une peine de quatre ans. Selon la jurisprudence, les différences de traitement entre plusieurs accusés comparaissant devant le même tribunal à raison des mêmes faits doivent être fondés sur des motifs pertinents. Il ne faut pas créer un écart trop important entre deux coaccusés qui ont participé ensemble au même complexe de faits délictueux ( ATF 123 IV 150 consid. 2b p. 153 s; 121 IV 202 consid. bb p. 204 s; 120 IV 136 consid. 3b p. 144 s.). En l'espèce, les antécédents des deux comparses ne sont pas comparables; Y.________ a été condamné à 20 jours-amende avec sursis pour infraction à la LSEE, alors que le recourant a fait l'objet de six condamnations, dont les deux dernières notamment pour vol, extorsion, chantage et lésions corporelles graves. Le rôle joué dans le brigandage par les deux brigands est également différent; le recourant était le meneur, alors que Y.________ n'était que le suiveur. Enfin, Y.________ a pris conscience de ses actes, a exprimé des regrets et s'est excusé, tandis que le recourant n'a pas cessé de clamer son innocence malgré les preuves accablantes, montrant par cette attitude un défaut de prise de conscience de sa faute. Dans ces circonstances, l'écart entre les peines des deux accusés apparaît justifié. Mal fondé, le grief soulevé doit être rejeté.</w:t>
      </w:r>
    </w:p>
    <w:p>
      <w:r>
        <w:rPr>
          <w:b/>
        </w:rPr>
        <w:t>E. 2.4</w:t>
      </w:r>
    </w:p>
    <w:p>
      <w:r>
        <w:t>Enfin, le recourant considère que la cour cantonale a abusé de son pouvoir d'appréciation. D'après lui, la peine prononcée correspond à celle qui est normalement infligée à un auteur coupable d'un brigandage qualifié. L' art. 140 ch. 1 CP prévoit que le brigandage peut être puni d'une peine privative de liberté de dix ans au plus ou d'une peine pécuniaire de 180 jours-amende au moins. Suivant les circonstances de l'infraction, la loi permet ainsi au juge, déjà en cas de brigandage simple, d'ordonner une peine pouvant aller jusqu'à dix ans. En l'espèce, les conditions dans lesquelles le brigandage a été perpétré lui confèrent une certaine gravité. Parmi celles-ci, on peut mentionner en particulier le rôle prépondérant du recourant, le repérage préliminaire, la prise des employés postaux en otage, le fait de les entraver, de les menacer avec une arme (même factice), puis enfin de les laisser attachés. A cela s'ajoutent des antécédents nombreux et d'une gravité croissante ainsi qu'un défaut de prise de conscience de l'illicéité de ses actes. Dans ces circonstances, la faute du recourant ne peut qu'être qualifiée de grave; elle justifie une lourde peine. La peine de six ans n'apparaît dès lors pas sévère à un point tel qu'il faille conclure à un abus du large pouvoir d'appréciation accordé à la cour cantonale. Mal fondé, le grief doit être rejeté.</w:t>
      </w:r>
    </w:p>
    <w:p>
      <w:r>
        <w:rPr>
          <w:b/>
        </w:rPr>
        <w:t>E. 3</w:t>
      </w:r>
    </w:p>
    <w:p>
      <w:r>
        <w:t>Ainsi, le recours doit être rejeté. 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