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333/2019 vom 15. März 2019</w:t>
      </w:r>
    </w:p>
    <w:p>
      <w:r>
        <w:t>Bundesgericht, 2019-03-15, DE</w:t>
      </w:r>
    </w:p>
    <w:p>
      <w:r>
        <w:rPr>
          <w:b/>
        </w:rPr>
        <w:t xml:space="preserve">Quelle: </w:t>
      </w:r>
      <w:r>
        <w:t>https://mcp.opencaselaw.ch/entscheid/bger_6B_333_2019</w:t>
      </w:r>
    </w:p>
    <w:p>
      <w:r>
        <w:t>FR: TF 6B 333/2019 du 15 mars 2019</w:t>
      </w:r>
    </w:p>
    <w:p>
      <w:r>
        <w:t>IT: TF 6B 333/2019 del 15 marzo 2019</w:t>
      </w:r>
    </w:p>
    <w:p>
      <w:pPr>
        <w:pStyle w:val="Heading2"/>
      </w:pPr>
      <w:r>
        <w:t>Regeste</w:t>
      </w:r>
    </w:p>
    <w:p>
      <w:r>
        <w:t>Rückweisung an die Staatsanwaltschaft (Hausfriedensbruch, Sachbeschädigung etc.); Nichteintreten | Strafprozess</w:t>
      </w:r>
    </w:p>
    <w:p>
      <w:pPr>
        <w:pStyle w:val="Heading2"/>
      </w:pPr>
      <w:r>
        <w:t>Erwägungen</w:t>
      </w:r>
    </w:p>
    <w:p>
      <w:r>
        <w:rPr>
          <w:b/>
        </w:rPr>
        <w:t>E. 1</w:t>
      </w:r>
    </w:p>
    <w:p>
      <w:r>
        <w:t>XA.________,</w:t>
      </w:r>
    </w:p>
    <w:p>
      <w:r>
        <w:rPr>
          <w:b/>
        </w:rPr>
        <w:t>E. 2</w:t>
      </w:r>
    </w:p>
    <w:p>
      <w:r>
        <w:t>Beim angefochtenen Beschluss handelt es sich um einen Zwischenentscheid, der das Strafverfahren gegen die Beschwerdeführer nicht abschliesst, sondern im Gegenteil dessen Fortführung bzw. Eröffnung bewirkt. 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In der Beschwerde muss - sofern das nicht offensichtlich ist - im Einzelnen darlegt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Hinweisen).</w:t>
      </w:r>
    </w:p>
    <w:p>
      <w:r>
        <w:rPr>
          <w:b/>
        </w:rPr>
        <w:t>E. 3</w:t>
      </w:r>
    </w:p>
    <w:p>
      <w:r>
        <w:t>Die Beschwerdeführer äussern sich nicht zu den Eintretensvoraussetzungen von Art. 93 Abs. 1 BGG . Weder behaupten sie, der angefochtene Beschluss bewirke einen nicht wieder gutzumachenden Nachteil ( Art. 93 Abs. 1 lit. a BGG ), noch legen sie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