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6B_332/2021 vom 21. April 2021</w:t>
      </w:r>
    </w:p>
    <w:p>
      <w:r>
        <w:t>Bundesgericht, 2021-04-21, FR</w:t>
      </w:r>
    </w:p>
    <w:p>
      <w:r>
        <w:rPr>
          <w:b/>
        </w:rPr>
        <w:t xml:space="preserve">Quelle: </w:t>
      </w:r>
      <w:r>
        <w:t>https://mcp.opencaselaw.ch/entscheid/bger_6B_332_2021</w:t>
      </w:r>
    </w:p>
    <w:p>
      <w:r>
        <w:t>FR: TF 6B_332/2021 du 21 avril 2021</w:t>
      </w:r>
    </w:p>
    <w:p>
      <w:r>
        <w:t>IT: TF 6B_332/2021 del 21 aprile 2021</w:t>
      </w:r>
    </w:p>
    <w:p>
      <w:pPr>
        <w:pStyle w:val="Heading2"/>
      </w:pPr>
      <w:r>
        <w:t>Erwägungen</w:t>
      </w:r>
    </w:p>
    <w:p>
      <w:r>
        <w:rPr>
          <w:b/>
        </w:rPr>
        <w:t>E. 1</w:t>
      </w:r>
    </w:p>
    <w:p>
      <w:r>
        <w:t>Par arrêt du 18 février 2021, la Chambre pénale de recours de la Cour de justice de la République et canton de Genève a rejeté le recours formé par A.________ contre l'ordonnance du 22 janvier 2021 par laquelle le Ministère public genevois a constaté, vu le défaut du prénommé à l'audience de la veille, le retrait de l'opposition formée contre l'ordonnance pénale du 20 avril 2020 le condamnant pour injure et menaces à une peine pécuniaire de 45 jours-amende à 60 fr. le jour, avec sursis pendant trois ans.</w:t>
      </w:r>
    </w:p>
    <w:p>
      <w:r>
        <w:t>A.________ forme un recours au Tribunal fédéral contre l'arrêt précité.</w:t>
      </w:r>
    </w:p>
    <w:p>
      <w:r>
        <w:rPr>
          <w:b/>
        </w:rPr>
        <w:t>E. 2</w:t>
      </w:r>
    </w:p>
    <w:p>
      <w:r>
        <w:t>Dans la mesure où les pièces produites par le recourant ne figureraient pas déjà à la procédure, elles sont nouvelles, partant irrecevables ( art. 99 al. 1 LTF ).</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se rapporter à l'objet du litige tel qu'il est circonscrit par la décision litigieuse ( ATF 133 IV 119 consid. 6.4 p. 121).</w:t>
      </w:r>
    </w:p>
    <w:p>
      <w:r>
        <w:t>En l'espèce, le recourant ne formule aucune conclusion. En outre, l'objet du litige est circonscrit par l'arrêt attaqué au retrait de l'opposition à l'ordonnance pénale du 20 avril 2020 en raison du défaut du recourant à l'audience du 21 janvier 2021 devant le ministère public. Dans la mesure où le recourant rediscute sa condamnation, ses griefs sont irrecevables, celle-ci ne faisant pas l'objet de la décision cantonale (cf. art. 80 al. 1 LTF ). Pour le surplus, le recourant se contente d'affirmer que son défaut est dû à une mauvaise inscription de sa femme dans son agenda. La cour cantonale a déjà examiné ce motif et l'a rejeté. Le recourant ne s'en prend pas à cette motivation et ne démontre pas en quoi la cour cantonale aurait violé le droit en confirmant que son opposition à l'ordonnance pénale devait être considérée comme retirée. Il ne présente ainsi aucun grief répondant aux exigences de motivation de l' art. 42 al. 2 LTF .</w:t>
      </w:r>
    </w:p>
    <w:p>
      <w:r>
        <w:rPr>
          <w:b/>
        </w:rPr>
        <w:t>E. 4</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