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6B_332/2008 vom 22. August 2008</w:t>
      </w:r>
    </w:p>
    <w:p>
      <w:r>
        <w:t>Bundesgericht, 2008-08-22, DE</w:t>
      </w:r>
    </w:p>
    <w:p>
      <w:r>
        <w:rPr>
          <w:b/>
        </w:rPr>
        <w:t xml:space="preserve">Quelle: </w:t>
      </w:r>
      <w:r>
        <w:t>https://mcp.opencaselaw.ch/entscheid/bger_6B_332_2008</w:t>
      </w:r>
    </w:p>
    <w:p>
      <w:r>
        <w:t>FR: TF 6B_332/2008 du 22 août 2008</w:t>
      </w:r>
    </w:p>
    <w:p>
      <w:r>
        <w:t>IT: TF 6B_332/2008 del 22 agosto 2008</w:t>
      </w:r>
    </w:p>
    <w:p>
      <w:pPr>
        <w:pStyle w:val="Heading2"/>
      </w:pPr>
      <w:r>
        <w:t>Erwägungen</w:t>
      </w:r>
    </w:p>
    <w:p>
      <w:r>
        <w:rPr>
          <w:b/>
        </w:rPr>
        <w:t>E. 1</w:t>
      </w:r>
    </w:p>
    <w:p>
      <w:r>
        <w:t>Am 1. Januar 2007 ist der revidierte Allgemeine Teil des Strafgesetzbuches in Kraft getreten. Dieses neue Recht gelangt auf Taten, welche noch unter Geltung des alten Rechts begangen wurden, nur zur Anwendung, wenn es für den Täter das mildere ist ( Art. 2 Abs. 2 StGB ). Dies ist hier der Fall (vgl. angefochtenes Urteil S. 7).</w:t>
      </w:r>
    </w:p>
    <w:p>
      <w:r>
        <w:rPr>
          <w:b/>
        </w:rPr>
        <w:t>E. 2</w:t>
      </w:r>
    </w:p>
    <w:p>
      <w:r>
        <w:t>Betreffend die Sachverhaltsfeststellung verweist die Vorinstanz auf die Ausführungen des Kantonsgerichts (s. angefochtenes Urteil S. 2). Das Kantonsgericht hielt folgenden Sachverhalt als erwiesen:</w:t>
      </w:r>
    </w:p>
    <w:p>
      <w:r>
        <w:t>Der Beschwerdeführer zog A.________ am 10. August 2003, nachmittags in Stansstad, auf einem Wanderweg in den Wald. Zuerst riss er ihre Hose und den Slip herunter, danach zog er sich selber die Hose hinunter. A.________ musste sich auf ihn setzen, worauf er - trotz ihrer Aufforderung, aufzuhören, weil es ihr "weh" mache - anal in sie eindrang. Anschliessend musste sie sich auf sein T-Shirt legen und er drang mit seinem Penis gewaltsam vaginal in sie ein. Dazu benützte er kein Kondom. A.________ zog sich Blutungen im Rückenbereich zu. Zudem berührte der Beschwerdeführer ihre Brüste grob und saugte derart stark an den Brustwarzen, dass sie an einer Brustwarze Hämatome erlitt. Nach der Penetration stand er auf und befahl ihr, sich wieder anzuziehen. Schliesslich brachte er sie nach Rothenburg zurück (s. erstinstanzliches Urteil S. 65 f.).</w:t>
      </w:r>
    </w:p>
    <w:p>
      <w:r>
        <w:rPr>
          <w:b/>
        </w:rPr>
        <w:t>E. 3</w:t>
      </w:r>
    </w:p>
    <w:p>
      <w:r>
        <w:t>Der Beschwerdeführer rügt eine willkürliche Beweiswürdigung ( Art. 9 BV ). Er hält sich für unschuldig und sieht sich als Opfer der mit psychischen Problemen behafteten Geschädigten, welche nicht ertragen konnte, dass er die gewünschten sexuellen Zuneigungen verweigerte. Er bemängelt, dass er in der Strafuntersuchung von Anfang an als Täter gesehen wurde und ihm entlastende Beweisvorkehren, insbesondere die Anordnung von Glaubhaftigkeitsgutachten, verweigert wurden.</w:t>
      </w:r>
    </w:p>
    <w:p>
      <w:r>
        <w:rPr>
          <w:b/>
        </w:rPr>
        <w:t>E. 3.1</w:t>
      </w:r>
    </w:p>
    <w:p>
      <w:r>
        <w:t>Der Beschwerdeführer stellt grösstenteils der Beweiswürdigung der Vorinstanz seine eigene Sicht der Dinge gegenüber, ohne zu erörtern, inwiefern der Entscheid (auch) im Ergebnis verfassungswidrig sein sollte. Seine Vorbringen erschöpfen sich mithin weitgehend in einer unzulässigen appellatorischen Kritik am angefochtenen Urteil und genügen folglich den Begründungsanforderungen gemäss Art. 106 Abs. 2 BGG nicht. Die vom Beschwerdeführer erwähnten Umstände der medizinischen Untersuchung, der Wesensveränderung der Geschädigten sowie des Therapieberichts hat die Vorinstanz lediglich als einzelne Indizien gewertet, welche in ihrer Gesamtheit und in Verbindung mit den Aussagen der verschiedenen Beteiligten den Beweis für das Tatgeschehen erbringen. Deshalb ist beispielsweise irrelevant, dass kein gynäkologischer Nachweis einer Penetration mehr möglich war und dass sich die Geschädigte schon früher Schnittverletzungen beigebracht hat. Weiter bezieht sich die Rüge der Verletzung von Art. 190 StGB nicht auf die rechtliche Würdigung, sondern wiederholt die gegen den Beweisschluss vorgebrachten Einwände. Betreffend die Anordnung der Glaubhaftigkeitsgutachten hat die Vorinstanz ausführlich begründet, wieso die Geschädigte trotz ihrer leichten Intelligenzverminderung zu konstanten Aussagen fähig ist und inwiefern die Aussagen des Beschwerdeführers widersprüchlich sind. Sie durfte deshalb in vorweggenommener Beweiswürdigung den Beweisantrag des Beschwerdeführers auf Anordnung der Glaubhaftigkeitsgutachten ablehnen. Die Vorinstanz konnte, ohne in Willkür zu verfallen, den Sachverhalt als erstellt ansehen. Bei diesem Beweisschluss bestehen keine offensichtlich erheblichen bzw. schlechterdings nicht zu unterdrückenden Zweifel daran, dass die Geschädigte gegen ihren Willen vom Beschwerdeführer sowohl anal als auch vaginal penetriert worden war.</w:t>
      </w:r>
    </w:p>
    <w:p>
      <w:r>
        <w:rPr>
          <w:b/>
        </w:rPr>
        <w:t>E. 3.2</w:t>
      </w:r>
    </w:p>
    <w:p>
      <w:r>
        <w:t>Der Beschwerdeführer bringt vor, die Beurteilungen der Vorinstanz zum Aussageverhalten und der Glaubwürdigkeit der Geschädigten würden auf falschen Sachverhaltsannahmen beruhen. Der Vergleich der beiden Videoaufnahmen würde zwei verschiedene Tatverläufe aufzeigen. Auch aus den Zeugenaussagen der Schwester der Geschädigten lasse sich entnehmen, dass die Aussagen der letzteren nicht im Kerngehalt stets konsistent und im Wesentlichen widerspruchsfrei seien. Die Vorinstanz habe die Widersprüchlichkeiten ausser Acht gelassen und sei von einem falschen Sachverhalt ausgegangen. Ihre Beurteilung der Glaubwürdigkeit sei willkürlich im Sinne von Art. 9 BV . Die Vorinstanz habe zu seinen Lasten gewertet, dass vier Tage nach der angeblichen Vergewaltigung kein gynäkologischer Nachweis einer Penetration mehr möglich war. Damit verletze sie den Grundsatz "in dubio pro reo", was willkürlich sei. Weiter stütze sich die Vorinstanz auf den Bericht der Psychologin und werte aus dem Umstand, dass sich die Geschädigte Schnittverletzungen an den Unterarmen zufügte, als Indiz für einen sicheren Wahrheitsgehalt in Bezug auf die gemachten Aussagen. Aufgrund der Tatsache, dass sich die Geschädigte schon früher Schnittverletzungen beigebracht habe, erweise sich der Therapiebericht als fehlerhaft. Indem die Vorinstanz entgegen der klaren Aktenlage von einer Penetration ausgehe, verletze sie zudem Art. 190 StGB . Schliesslich sei es willkürlich und verletze seinen Anspruch auf das rechtliche Gehör, wenn die Vorinstanz keine besonderen Umstände für die Einholung eines Glaubhaftigkeitsgutachtens als gegeben erachte. Bei der Geschädigten handle es sich um eine Person mit einer akzentuierten geistigen Retardierung und die Vorinstanz gehe selber von einer Person mit einer geistigen Störung aus. In ihrer Beurteilung der Notwendigkeit eines Glaubhaftigkeitsgutachtens stütze sich die Vorinstanz auf Berichte von Fachpersonen, welchen es infolge ihrer therapeutischen Tätigkeit an der unabdingbaren Unabhängigkeit fehle.</w:t>
      </w:r>
    </w:p>
    <w:p>
      <w:r>
        <w:rPr>
          <w:b/>
        </w:rPr>
        <w:t>E. 3.3</w:t>
      </w:r>
    </w:p>
    <w:p>
      <w:r>
        <w:t>Art. 9 BV gewährleistet den Anspruch darauf, von den staatlichen Organen ohne Willkür behandelt zu werden. Dem Sachgericht steht bei der Würdigung der Beweise ein grosser Ermessensspielraum zu. Willkür ist hier nur zu bejahen, wenn das Gericht offensichtlich den Sinn und die Tragweite eines Beweismittels verkannt, ohne vernünftigen Grund ein wichtiges und erhebliches Beweismittel unberücksichtigt gelassen oder aus den vorhandenen Elementen offensichtlich unhaltbare Schlüsse gezogen hat ( BGE 129 I 8 E. 2.1 S. 9, mit Hinweisen).</w:t>
      </w:r>
    </w:p>
    <w:p>
      <w:r>
        <w:t>Der Anspruch auf rechtliches Gehör gemäss Art. 29 Abs. 2 BV umfasst unter anderem das Recht des Betroffenen, mit erheblichen Beweisanträgen gehört zu werden und an der Erhebung wesentlicher Beweise entweder mitzuwirken oder sich zumindest zum Beweisergebnis zu äussern, wenn dieses geeignet ist, den Entscheid zu beeinflussen ( BGE 126 I 15 E. 2a/aa S. 16 ; 124 I 241 E. 2 S. 242, je mit Hinweisen). Der Richter kann jedoch einen Beweisantrag ablehnen, wenn er willkürfrei annehmen durfte, dass weitere Beweisvorkehren an der Würdigung der bereits abgenommenen Beweise voraussichtlich nichts mehr ändern würden ( BGE 124 I 208 E. 4a S. 211).</w:t>
      </w:r>
    </w:p>
    <w:p>
      <w:r>
        <w:t>Gemäss Art. 105 Abs. 1 BGG legt das Bundesgericht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2 BGG ).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 BGE 133 II 249 E. 1.4.3 S. 254 f., mit Hinweis).</w:t>
      </w:r>
    </w:p>
    <w:p>
      <w:r>
        <w:rPr>
          <w:b/>
        </w:rPr>
        <w:t>E. 4</w:t>
      </w:r>
    </w:p>
    <w:p>
      <w:r>
        <w:t>Demgemäss ist die Beschwerde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