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331/2016 vom 11. April 2016</w:t>
      </w:r>
    </w:p>
    <w:p>
      <w:r>
        <w:t>Bundesgericht, 2016-04-11, DE</w:t>
      </w:r>
    </w:p>
    <w:p>
      <w:r>
        <w:rPr>
          <w:b/>
        </w:rPr>
        <w:t xml:space="preserve">Quelle: </w:t>
      </w:r>
      <w:r>
        <w:t>https://mcp.opencaselaw.ch/entscheid/bger_6B_331_2016</w:t>
      </w:r>
    </w:p>
    <w:p>
      <w:r>
        <w:t>FR: TF 6B 331/2016 du 11 avril 2016</w:t>
      </w:r>
    </w:p>
    <w:p>
      <w:r>
        <w:t>IT: TF 6B 331/2016 del 11 aprile 2016</w:t>
      </w:r>
    </w:p>
    <w:p>
      <w:pPr>
        <w:pStyle w:val="Heading2"/>
      </w:pPr>
      <w:r>
        <w:t>Regeste</w:t>
      </w:r>
    </w:p>
    <w:p>
      <w:r>
        <w:t>Strafbefehl (Beschimpfung), Nichteintreten auf eine Einsprache infolge Verspätung | Strafprozess</w:t>
      </w:r>
    </w:p>
    <w:p>
      <w:pPr>
        <w:pStyle w:val="Heading2"/>
      </w:pPr>
      <w:r>
        <w:t>Erwägungen</w:t>
      </w:r>
    </w:p>
    <w:p>
      <w:r>
        <w:rPr>
          <w:b/>
        </w:rPr>
        <w:t>E. 1</w:t>
      </w:r>
    </w:p>
    <w:p>
      <w:r>
        <w:t>Das Obergericht des Kantons Bern trat am 11. März 2016 auf eine Beschwerde nicht ein, weil sie keine taugliche Begründung enthielt. Der Beschwerdeführer wendet sich ans Bundesgericht, ohne einen ausdrücklichen Antrag zu stellen. In einer Beschwerde ans Bundesgericht ist darzulegen, inwieweit der angefochtene Entscheid nach Meinung des Beschwerdeführers gegen das Recht verstossen soll ( Art. 42 Abs. 2 BGG ). Da die Vorinstanz mangels einer tauglichen Begründung auf das Rechtsmittel nicht eintrat, kann sich das Bundesgericht nur mit den Begründungsanforderungen vor Vorinstanz bzw. der Frage befassen, ob der Beschwerdeführer diese Anforderungen erfüllt hat. Dazu äussert er sich indessen vor Bundesgericht nicht. Seine pauschale und nicht näher erläuterte Behauptung, er habe im Kanton "eine begründete Beschwerde" eingereicht (S. 1), ist ungenügend. Im Übrigen beschränkt er sich auf Ausführungen zur Sache, die nicht Gegenstand des kantonalen Entscheids war. Auf die Beschwerde ist mangels einer tauglichen Begründung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