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6B_329/2021 vom 26. Oktober 2021</w:t>
      </w:r>
    </w:p>
    <w:p>
      <w:r>
        <w:t>Bundesgericht, 2021-10-26, FR</w:t>
      </w:r>
    </w:p>
    <w:p>
      <w:r>
        <w:rPr>
          <w:b/>
        </w:rPr>
        <w:t xml:space="preserve">Quelle: </w:t>
      </w:r>
      <w:r>
        <w:t>https://mcp.opencaselaw.ch/entscheid/bger_6B_329_2021</w:t>
      </w:r>
    </w:p>
    <w:p>
      <w:r>
        <w:t>FR: TF 6B_329/2021 du 26 octobre 2021</w:t>
      </w:r>
    </w:p>
    <w:p>
      <w:r>
        <w:t>IT: TF 6B_329/2021 del 26 ottobre 2021</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Dirigé contre un arrêt confirmant une ordonnance de non-entrée en matière ( art. 310 CPP ), le présent recours concerne une décision rendue en matière pénale ( art. 78 LTF ), qui émane d'une autorité de dernière instance cantonale ( art. 80 LTF ) et qui revêt un caractère final ( art. 90 LTF ). Il est donc en principe recevable quant à son objet (arrêts 6B_638/2020 du 3 février 2021 consid. 1.1; 6B_109/2020 du 1er avril 2020 consid. 1 et les références citées).</w:t>
      </w:r>
    </w:p>
    <w:p>
      <w:r>
        <w:t>Le recours constitutionnel subsidiaire qu'entendent également déposer les recourants est par conséquent exclu ( art. 113 LTF ). Un éventuel défaut de qualité pour recourir sous l'angle de l' art. 81 LTF n'y change rien, la voie du recours constitutionnel subsidiaire n'étant pas ouverte dans les cas où la voie du recours ordinaire est fermée en raison du défaut de qualité pour recourir (arrêts 6B_46/2021 du 7 juin 2021 consid. 4; 6B_109/2020 du 1er avril 2020 consid. 1; 6B_437/2019 du 8 août 2019 consid. 1.1 et les références citées).</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1.3</w:t>
      </w:r>
    </w:p>
    <w:p>
      <w:r>
        <w:t>En l'espèce, les recourants ne disent mot, ni sur le principe, ni sur la quotité d'un éventuel dommage ou tort moral dont ils entendraient obtenir réparation. Ils ne consacrent aucun développement au sujet des prétentions civiles qu'ils entendent déduire de l'infraction dénoncée. Ils n'ont donc pas qualité pour recourir sur le fond.</w:t>
      </w:r>
    </w:p>
    <w:p>
      <w:r>
        <w:rPr>
          <w:b/>
        </w:rPr>
        <w:t>E. 1.4</w:t>
      </w:r>
    </w:p>
    <w:p>
      <w:r>
        <w:t>En outre, les recourants, qui se plaignent d'une violation de la liberté d'expression syndicale, ne font pas valoir de violation d'un droit conventionnel ou constitutionnel à l'application des peines prévues par le Code pénal, tels les art. 10 al. 3 Cst. , 7 Pacte ONU II (RS 0.103.2), 3 CEDH ou 13 par. 1 de la Convention des Nations unies contre la torture et autres peines ou traitements cruels, inhumains ou dégradants conclue à New York le 10 décembre 1984 (RS 0.105; cf. ATF 138 IV 86 consid. 3.1.1 p. 88; arrêts 6B_550/2012 du 12 avril 2013 consid. 1.2; 6B_364/2011 du 24 octobre 2011 consid. 2.2). En effet, la jurisprudence reconnaît aux personnes qui se prétendent victimes de tels traitements prohibés,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p. 88 et les références citées; arrêts 6B_46/2021 du 7 juin 2021 consid. 5.3; 6B_806/2021 du 3 août 2021 consid. 4.3; 6B_307/2019 du 13 novembre 2019 consid. 4.1 non publié aux ATF 146 IV 76 ). Une telle hypothèse n'est pas réalisée ici ni même invoquée.</w:t>
      </w:r>
    </w:p>
    <w:p>
      <w:r>
        <w:rPr>
          <w:b/>
        </w:rPr>
        <w:t>E. 2</w:t>
      </w:r>
    </w:p>
    <w:p>
      <w:r>
        <w:t>L'hypothèse visée à l'art. 81 al. 1 let. b ch. 6 LTF n'entre pas non plus en considération, dès lors que les recourants ne soulèvent aucun grief quant à leur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et les références citées; arrêts 6B_191/2021 du 11 août 2021 consid. 7; 6B_1425/2019 du 9 juin 2020 consid. 1.3).</w:t>
      </w:r>
    </w:p>
    <w:p>
      <w:r>
        <w:rPr>
          <w:b/>
        </w:rPr>
        <w:t>E. 3.1</w:t>
      </w:r>
    </w:p>
    <w:p>
      <w:r>
        <w:t>En tant que les recourants invoquent une violation de leur liberté syndicale garantie notamment part l' art. 10 CEDH , ils ne soulèvent aucun grief distinct du fond. En effet, sous cet angle, les recourants soutiennent notamment que C.________ aurait menti à l'autorité pénale dans le but d'ouvrir une procédure contre eux et les dissuader de poursuivre et revendiquer leurs droits.</w:t>
      </w:r>
    </w:p>
    <w:p>
      <w:r>
        <w:rPr>
          <w:b/>
        </w:rPr>
        <w:t>E. 3.2</w:t>
      </w:r>
    </w:p>
    <w:p>
      <w:r>
        <w:t>Les recourants se plaignent d'une violation de l'obligation de motiver.</w:t>
      </w:r>
    </w:p>
    <w:p>
      <w:r>
        <w:rPr>
          <w:b/>
        </w:rPr>
        <w:t>E. 3.2.1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6B_191/2021 du 11 août 2021 consid. 7.2).</w:t>
      </w:r>
    </w:p>
    <w:p>
      <w:r>
        <w:rPr>
          <w:b/>
        </w:rPr>
        <w:t>E. 3.2.2</w:t>
      </w:r>
    </w:p>
    <w:p>
      <w:r>
        <w:t>Dans leur déclaration d'appel, invoquant une violation de l' art. 310 CPP , les recourants ont reproché au ministère public de ne pas avoir retenu l'existence d'une dénonciation calomnieuse, alléguant que C.________ aurait volontairement communiqué au ministère public des informations inexactes. Ils ont également soutenu que le refus d'ouvrir une enquête à l'encontre de l'employeur n'était pas conforme aux obligations découlant de l' art. 10 CEDH et à la Convention n° 87 de l'Organisation internationale du travail (OIT). À cet égard, ils ont en substance fait valoir que la plainte déposée à leur encontre par C.________ avait un caractère calomnieux alors qu'ils essayaient de faire valoir leurs droits en tant que travailleurs dans le cadre d'une action syndicale et que ladite plainte violait ainsi directement l'exercice de leur liberté syndicale. Ils reprochaient au ministère public de ne pas avoir procédé à tout le moins à l'ouverture d'une instruction à l'encontre de C.________ (cf. déclaration d'appel, p. 7).</w:t>
      </w:r>
    </w:p>
    <w:p>
      <w:r>
        <w:rPr>
          <w:b/>
        </w:rPr>
        <w:t>E. 3.2.3</w:t>
      </w:r>
    </w:p>
    <w:p>
      <w:r>
        <w:t>Dans son arrêt, la cour cantonale a retenu qu'au moment du dépôt de sa plainte pénale, le 31 juillet 2017, non seulement aucune décision ne constatait que C.________ ne s'était pas acquitté de l'intégralité des salaires dus, mais aucune action n'avait encore été intentée contre lui devant la juridiction des prud'hommes, puisque la demande avait été déposée que le 24 octobre 2017. Elle a relevé que la plainte visait les propos tenus sur des banderoles devant son restaurant et un article de journal en juillet 2017. En outre, C.________ était accusé par ses employés et le syndicat de menaces pour avoir exhibé une arme de poing, faits qui n'avaient pas été prouvés et avaient fait l'objet d'une ordonnance de non-entrée en matière. Ainsi, il n'était pas possible de retenir que C.________ aurait voulu, en déposant sa plainte, dénoncer les recourants comme auteurs d'une infraction, tout en les sachant innocents. Selon la cour cantonale, il apparaissait plutôt que le prénommé entendait défendre son honneur face à la vive polémique syndicale et les graves accusations de menaces dont il avait fait objet.</w:t>
      </w:r>
    </w:p>
    <w:p>
      <w:r>
        <w:t>La cour cantonale en a conclu que les éléments constitutifs de l'infraction de dénonciation calomnieuse n'étaient pas réunis, de sorte que le prononcé d'une ordonnance de non-entrée en matière se justifiait.</w:t>
      </w:r>
    </w:p>
    <w:p>
      <w:r>
        <w:rPr>
          <w:b/>
        </w:rPr>
        <w:t>E. 3.3</w:t>
      </w:r>
    </w:p>
    <w:p>
      <w:r>
        <w:t>Disposant d'une pleine cognition en fait et en droit, la cour cantonale a examiné les agissements dénoncés, sous l'angle de la dénonciation calomnieuse, ce en tenant compte de l'ensemble des documents produits par les recourants. Elle a motivé en détail les raisons pour lesquelles elle estimait que les conditions de réalisation de cette infraction n'étaient pas réunies. En outre, la motivation cantonale permettait clairement, quoi qu'implicitement, de comprendre que l'argument tiré de la violation de la liberté d'action syndicale n'était pas pertinent dès lors que les éléments constitutifs de l'infraction dénoncée n'étaient manifestement pas réunis. Les recourants ne démontrent d'ailleurs pas en quoi cet élément aurait été déterminant pour l'issue du litige et aurait ainsi, impérativement, dû être discuté par la cour cantonale. En réalité, par leur argumentation, les recourants tentent essentiellement de remettre en cause la décision sur le fond, ce qu'ils ne sont pas habilités à faire, faute de qualité pour recourir sur le fond (cf. supra consid. 1.3).</w:t>
      </w:r>
    </w:p>
    <w:p>
      <w:r>
        <w:t>Il s'ensuit que le grief tiré du défaut de motivation doit être rejeté.</w:t>
      </w:r>
    </w:p>
    <w:p>
      <w:r>
        <w:rPr>
          <w:b/>
        </w:rPr>
        <w:t>E. 4</w:t>
      </w:r>
    </w:p>
    <w:p>
      <w:r>
        <w:t>Il résulte de ce qui précède que le recours constitutionnel subsidiaire est irrecevable. Le recours en matière pénale doit être rejeté dans la mesure où il est recevable.</w:t>
      </w:r>
    </w:p>
    <w:p>
      <w:r>
        <w:t>Les recourants, qui succombent, supportent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