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6B_329/2020 vom 20. Januar 2021</w:t>
      </w:r>
    </w:p>
    <w:p>
      <w:r>
        <w:t>Bundesgericht, 2021-01-20, FR</w:t>
      </w:r>
    </w:p>
    <w:p>
      <w:r>
        <w:rPr>
          <w:b/>
        </w:rPr>
        <w:t xml:space="preserve">Quelle: </w:t>
      </w:r>
      <w:r>
        <w:t>https://mcp.opencaselaw.ch/entscheid/bger_6B_329_2020</w:t>
      </w:r>
    </w:p>
    <w:p>
      <w:r>
        <w:t>FR: TF 6B_329/2020 du 20 janvier 2021</w:t>
      </w:r>
    </w:p>
    <w:p>
      <w:r>
        <w:t>IT: TF 6B_329/2020 del 20 gennaio 2021</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1.1</w:t>
      </w:r>
    </w:p>
    <w:p>
      <w:r>
        <w:t>En l'espèce, il est constant que le recourant a été entièrement indemnisé par son assurance privée en ce qui concerne le préjudice matériel. Selon le recourant, la décision de classement pourrait cependant avoir des effets sur le jugement de ses prétentions résiduelles, tendant à la réparation du tort moral subi, objet de ses conclusions réduites à un franc symbolique. Il allègue, dans ce contexte, qu'une partie de son patrimoine aurait été détruite de manière irréversible, les flammes et une épaisse fumée noire ayant endommagé irrémédiablement un grand nombre de photos et souvenirs (dessins, livres, archives d'école des enfants, souvenirs de voyage ainsi qu'un ancien appareil photo ayant appartenu au père du recourant). Le recourant souligne que ces éléments ne ressortent pas du dossier et qu'ils sont allégués parce qu'ils se révéleraient pertinents pour la première fois pour établir sa qualité pour recourir en matière pénale au Tribunal fédéral. Il mentionne aussi que les agissements de C.________ SA auraient mis son épouse et leurs enfants en grave danger, que C.________ SA aurait toujours refusé d'admettre une quelconque faute et que le ministère public aurait sous-entendu de manière accusatrice que le recourant et son épouse auraient eu une responsabilité dans le déroulement des faits en activant un procédé électronique permettant d'ignorer certains signaux du détecteur (" bypass ").</w:t>
      </w:r>
    </w:p>
    <w:p>
      <w:r>
        <w:rPr>
          <w:b/>
        </w:rPr>
        <w:t>E. 1.2</w:t>
      </w:r>
    </w:p>
    <w:p>
      <w:r>
        <w:t>On ne perçoit, tout d'abord, pas concrètement ce que le recourant pourrait déduire en sa faveur, en relation avec d'éventuelles conclusions civiles par voie d'adhésion, des faits qu'il reproche au ministère public de lui avoir imputés par sous-entendu en relation avec l'utilisation du " bypass " ou des dénégations en procédure de C.________ SA.</w:t>
      </w:r>
    </w:p>
    <w:p>
      <w:r>
        <w:rPr>
          <w:b/>
        </w:rPr>
        <w:t>E. 1.3</w:t>
      </w:r>
    </w:p>
    <w:p>
      <w:r>
        <w:t>Par ailleurs, le recourant n'explique pas ce qui le légitimerait à invoquer les conséquences d'éventuelles atteintes illicites subies dans leurs droits par son épouse et leurs enfants. Il suffit, dès lors, de rappeler, d'une part, qu'il ne suffit pas, au regard de l' art. 49 CO que la victime ait été simplement choquée (MARTIN A. KESSLER, in Basler Kommentar Obligationenrecht I, 7e éd. 2020, no 11</w:t>
      </w:r>
    </w:p>
    <w:p>
      <w:r>
        <w:t>ad</w:t>
      </w:r>
    </w:p>
    <w:p>
      <w:r>
        <w:t>art. 49 CO ), de sorte que les expériences traumatisantes ne justifient l'allocation d'une indemnité pour tort moral que dans des situations extrêmes (v. en relation avec la peur de mourir: ROLAND BREHM, in Berner Kommentar Obligationenrecht, Die Entstehung durch unerlaubte Handlungen, 4e éd. 2013, no 45b</w:t>
      </w:r>
    </w:p>
    <w:p>
      <w:r>
        <w:t>ad</w:t>
      </w:r>
    </w:p>
    <w:p>
      <w:r>
        <w:t>art. 49 CO ). D'autre part, si l'indemnisation du tort moral à raison d'une atteinte subie à sa propre personnalité en raison d'une atteinte illicite portée à celle d'un tiers (atteinte indirecte) n'est pas exclue elle ne doit être admise qu'exceptionnellement (v. p. ex.: ATF 125 III 412 consid. 2a p. 417; 117 II 50 consid. 3; 112 II 226 ; arrêt 4C.165/1997 du 16 juillet 1998 consid. 4b; BREHM, op. cit., nos 38 ss</w:t>
      </w:r>
    </w:p>
    <w:p>
      <w:r>
        <w:t>ad</w:t>
      </w:r>
    </w:p>
    <w:p>
      <w:r>
        <w:t>art. 49 CO ; moins affirmatif: Kessler, op. cit., no 6 ad art. 49 CO ). Il s'ensuit, a fortiori que la seule évocation par le recourant de la mise en danger de son épouse et de ses enfants ne suffit manifestement pas à démontrer l'existence d'une prétention du recourant tendant à la réparation d'un tort moral, même réduite à 1 fr. symbolique.</w:t>
      </w:r>
    </w:p>
    <w:p>
      <w:r>
        <w:rPr>
          <w:b/>
        </w:rPr>
        <w:t>E. 1.4</w:t>
      </w:r>
    </w:p>
    <w:p>
      <w:r>
        <w:t>Enfin, étant rappelé que, sous réserve des lésions portées aux animaux vivant en milieu domestique ( art. 43 al. 1bis CO ), la seule valeur d'affection ne constitue, dans la règle, pas un préjudice susceptible d'être réparé dans le cadre de l' art. 42 CO (BREHM, op. cit., no 15</w:t>
      </w:r>
    </w:p>
    <w:p>
      <w:r>
        <w:t>ad</w:t>
      </w:r>
    </w:p>
    <w:p>
      <w:r>
        <w:t>art. 42 CO ), l'octroi d'une réparation du tort moral en application de l' art. 49 CO , résultant de la perte d'un objet ne doit être envisagée qu'avec retenue, voire dans des situations exceptionnelles (BREHM, op. cit., no 73</w:t>
      </w:r>
    </w:p>
    <w:p>
      <w:r>
        <w:t>ad</w:t>
      </w:r>
    </w:p>
    <w:p>
      <w:r>
        <w:t>art. 49 CO ). Aussi, en se bornant à alléguer que des objets personnels et des souvenirs auraient été endommagés, le recourant ne rend pas encore vraisemblable que cette conjoncture serait inaccoutumée, respectivement qu'il subirait une atteinte d'une gravité telle qu'il pourrait en déduire une prétention en réparation du tort moral dont le jugement pourrait être influencé par le classement. Il n'est dès lors pas nécessaire d'examiner plus avant si l'allégation de ces préjudices résultant de l'exposition à la fumée est nouvelle au sens de l' art. 99 al. 1 LTF , comme le soutient le recourant, ou si la constatation de la cour cantonale, selon laquelle les souvenirs ou objets personnels du recourant n'ont pas été atteints dès lors que les dégâts matériels s'étaient produits au sous-sol de la villa (arrêt entrepris consid. 1 p. 6), lie le Tribunal fédéral ( art. 105 al. 1 LTF ) faute pour le recourant de développer, en sus de son allégation, une argumentation tendant à démontrer que la cour cantonale aurait constaté ces faits de manière arbitraire ( art. 9 Cst. ; art. 106 al. 2 LTF ).</w:t>
      </w:r>
    </w:p>
    <w:p>
      <w:r>
        <w:rPr>
          <w:b/>
        </w:rPr>
        <w:t>E. 2</w:t>
      </w:r>
    </w:p>
    <w:p>
      <w:r>
        <w:t>Pour le surplus, si le recourant critique également la motivation par laquelle la cour cantonale a justifié l'irrecevabilité du recours prononcée à titre principal, il ne requiert pas expressément qu'une éventuelle violation de ses droits de partie soit constatée formellement. Dès lors qu'il résulte des considérants qui précèdent que le recourant ne démontre pas à satisfaction de droit avoir qualité pour recourir en matière pénale sur le fond, soit sur la question du classement de la procédure pénale qui a justifié à titre subsidiaire le rejet de son recours, force est de constater qu'il n'a aucun intérêt juridiquement protégé à obtenir l'annulation à laquelle il conclut de la décision canto-</w:t>
      </w:r>
    </w:p>
    <w:p>
      <w:r>
        <w:t>nale à seule fin qu'après avoir admis la recevabilité du recours, la cour cantonale n'ait d'autre choix que de le rejeter (cf. sur la portée d'un arrêt de renvoi: ATF 143 IV 214 consid 5.2.1 p. 220 s.). Le recours est irrecevable sous cet angle également.</w:t>
      </w:r>
    </w:p>
    <w:p>
      <w:r>
        <w:rPr>
          <w:b/>
        </w:rPr>
        <w:t>E. 3</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