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6B_327/2011 vom 7. Juli 2011</w:t>
      </w:r>
    </w:p>
    <w:p>
      <w:r>
        <w:t>Bundesgericht, 2011-07-07, FR</w:t>
      </w:r>
    </w:p>
    <w:p>
      <w:r>
        <w:rPr>
          <w:b/>
        </w:rPr>
        <w:t xml:space="preserve">Quelle: </w:t>
      </w:r>
      <w:r>
        <w:t>https://mcp.opencaselaw.ch/entscheid/bger_6B_327_2011</w:t>
      </w:r>
    </w:p>
    <w:p>
      <w:r>
        <w:t>FR: TF 6B_327/2011 du 7 juillet 2011</w:t>
      </w:r>
    </w:p>
    <w:p>
      <w:r>
        <w:t>IT: TF 6B_327/2011 del 7 luglio 2011</w:t>
      </w:r>
    </w:p>
    <w:p>
      <w:pPr>
        <w:pStyle w:val="Heading2"/>
      </w:pPr>
      <w:r>
        <w:t>Erwägungen</w:t>
      </w:r>
    </w:p>
    <w:p>
      <w:r>
        <w:rPr>
          <w:b/>
        </w:rPr>
        <w:t>E. 1</w:t>
      </w:r>
    </w:p>
    <w:p>
      <w:r>
        <w:t>Le recours ordinaire au Tribunal fédéral peut notamment être formé pour violation du droit fédéral ( art. 95 let. a LTF ), y compris les droits constitutionnels. Le recours doit être suffisamment motivé. Il doit indiquer en quoi la décision attaquée viole le droit (cf. art. 42 al. 2 LTF ). Les griefs de violation des droits fondamentaux sont soumis à des exigences de motivation accrues (cf. art. 106 al. 2 LTF ; ATF 133 IV 286 consid. 1.4 p. 287). L'acte de recours doit, à peine d'irrecevabilité, contenir un exposé succinct des droits constitutionnels ou des principes juridiques violés et préciser en quoi consiste la violation (cf. ATF 134 II 349 consid. 3 p. 351; également ATF 136 II 489 consid. 2.8 p. 494).</w:t>
      </w:r>
    </w:p>
    <w:p>
      <w:r>
        <w:rPr>
          <w:b/>
        </w:rPr>
        <w:t>E. 2</w:t>
      </w:r>
    </w:p>
    <w:p>
      <w:r>
        <w:t>Le recourant se plaint implicitement de la quotité de sa peine.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Ces critères correspondent à ceux développés par la jurisprudence relative à l'art. 63 aCP, à laquelle on peut se référer ( ATF 134 IV 17 consid. 2.1 p. 19). Le juge dispose d'un large pouvoir d'appréciation dans la fixation de la peine. Il n'y a ainsi violation du droit fédéral que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p. 19 s.).</w:t>
      </w:r>
    </w:p>
    <w:p>
      <w:r>
        <w:rPr>
          <w:b/>
        </w:rPr>
        <w:t>E. 2.2</w:t>
      </w:r>
    </w:p>
    <w:p>
      <w:r>
        <w:t>La cour cantonale a, par renvoi au jugement de première instance considéré que la culpabilité du recourant était lourde. Il a mis sur le marché une quantité considérable de cocaïne et son activité s'est étendue sur une longue période, de fin 2002 jusqu'au début de l'année 2007. Seule son arrestation a mis fin au trafic. En outre, le recourant a joué un rôle essentiel dans la séquestration barbare d'un tiers et démontré ainsi une absence particulière de scrupules et de respect pour autrui. En effet, il y a non seulement participé mais a également eu l'idée de faire appel à des hommes de main pour molester la victime. A charge de l'accusé, les autorités cantonales ont retenu le concours d'infractions. A décharge, elles ont tenu compte d'une diminution légère de responsabilité, de sa bonne collaboration en cours d'enquête, de ses mobiles qui consistaient à assouvir son besoin de stupéfiants et non à s'enrichir, de ses regrets, de son relatif jeune âge et surtout de l'important travail accompli depuis la fin de ses activités délictueuses. A ce titre, la cour cantonale a relevé l'intégration professionnelle exemplaire du recourant, sa rupture avec le milieu toxicomane, le redressement de sa situation financière et la prise de conscience de la gravité de ses actes. Au vu de l'ensemble de ces éléments, elle a jugé qu'une peine privative de liberté de trois ans était adéquate.</w:t>
      </w:r>
    </w:p>
    <w:p>
      <w:r>
        <w:rPr>
          <w:b/>
        </w:rPr>
        <w:t>E. 2.3</w:t>
      </w:r>
    </w:p>
    <w:p>
      <w:r>
        <w:t>En l'espèce, le recourant, avec raison, ne prétend pas que des éléments auraient été omis ou pris en considération à tort par la cour cantonale. Il n'explique pas davantage de manière motivée en quoi cette peine serait exagérément sévère au point de constituer un abus du pouvoir d'appréciation. Il insiste uniquement sur la volonté des premiers juges de limiter sa peine privative de liberté à deux ans. C'est méconnaître que les juges de première instance ont prononcé une peine combinée équivalente à trois ans (2 ans de peine privative de liberté et 360 jours-amende). Or, cette solution n'était pas conforme, l' art. 42 al. 4 CP offrant uniquement la faculté de prononcer une peine combinée globale de deux ans au maximum (cf. consid. 4 infra) ; la cour cantonale devait donc reprendre la problématique de la peine dans le cadre du recours du Ministère public. Au demeurant, il apparaît que la peine a été fixée à trois ans sur la base de critères pertinents, correctement évalués, ce qui a abouti au prononcé d'une peine qui ne peut être qualifiée d'excessive. Le grief doit ainsi être rejeté dans la mesure de sa recevabilité.</w:t>
      </w:r>
    </w:p>
    <w:p>
      <w:r>
        <w:rPr>
          <w:b/>
        </w:rPr>
        <w:t>E. 3</w:t>
      </w:r>
    </w:p>
    <w:p>
      <w:r>
        <w:t>Le recourant fait valoir que la cour cantonale, avec la peine infligée, a aggravé sa situation et violé ainsi l'interdiction de la reformatio in peius.</w:t>
      </w:r>
    </w:p>
    <w:p>
      <w:r>
        <w:rPr>
          <w:b/>
        </w:rPr>
        <w:t>E. 3.1</w:t>
      </w:r>
    </w:p>
    <w:p>
      <w:r>
        <w:t>L'interdiction de la reformatio in peius relève au premier chef du droit cantonal de procédure, dont le Tribunal fédéral ne contrôle l'application que sous l'angle de sa conformité au droit constitutionnel, notamment à l' art. 9 Cst. Encore faut-il que le grief soit motivé conformément aux exigences de l' art. 106 al. 2 LTF (cf. supra, consid. 1).</w:t>
      </w:r>
    </w:p>
    <w:p>
      <w:r>
        <w:rPr>
          <w:b/>
        </w:rPr>
        <w:t>E. 3.2</w:t>
      </w:r>
    </w:p>
    <w:p>
      <w:r>
        <w:t>Le recourant n'invoque aucune disposition du droit cantonal de procédure, et donc, à plus forte raison, il ne démontre pas d'application contraire à ses droits constitutionnels. Son grief apparaît ainsi irrecevable.</w:t>
      </w:r>
    </w:p>
    <w:p>
      <w:r>
        <w:t>Au demeurant, il est aussi infondé. Le principe de la reformatio in peius interdit la réforme du jugement entrepris au détriment du recourant lorsqu'il recourt seul (GÉRARD PIQUEREZ, Traité de procédure pénale suisse, 2ème éd., 2006, n. 1215). Dans le cas particulier, la cour cantonale était saisie d'un recours de l'accusé mais aussi du Ministère public qui demandait précisément une aggravation de la peine. Dès lors, elle était en droit d'infliger au recourant une peine plus élevée que celle fixée en première instance.</w:t>
      </w:r>
    </w:p>
    <w:p>
      <w:r>
        <w:rPr>
          <w:b/>
        </w:rPr>
        <w:t>E. 4</w:t>
      </w:r>
    </w:p>
    <w:p>
      <w:r>
        <w:t>Le recourant reproche à la cour cantonale d'une part de ne pas avoir assorti la peine privative de liberté du sursis total et, d'autre part, de ne pas avoir combiné cette peine avec une peine pécuniaire ferme. Il invoque les art. 42 et 43 CP .</w:t>
      </w:r>
    </w:p>
    <w:p>
      <w:r>
        <w:rPr>
          <w:b/>
        </w:rPr>
        <w:t>E. 4.1</w:t>
      </w:r>
    </w:p>
    <w:p>
      <w:r>
        <w:t>Selon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juge peut prononcer, en plus du sursis, une peine pécuniaire sans sursis ou une amende (al. 4). En ce qui concerne les peines privative de liberté, le champ d'application de l' art. 42 CP est donc limité aux peines de deux ans au maximum ( ATF 134 IV 1 consid. 5.3.2; arrêt 6B_373/2009 du 22 septembre 2009 consid. 4.3.1).</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Dans le cas des peines privatives de liberté qui excèdent la limite fixée pour l'octroi du sursis complet - soit entre deux et trois ans -, l' art. 43 CP s'applique de manière autonome. En effet exclu dans ces cas, le sursis complet est alors remplacé par le sursis partiel pour autant qu'il n'y ait pas de pronostic défavorable ( ATF 134 IV 1 consid. 5.3.2 et consid. 5.5.1).</w:t>
      </w:r>
    </w:p>
    <w:p>
      <w:r>
        <w:rPr>
          <w:b/>
        </w:rPr>
        <w:t>E. 4.2</w:t>
      </w:r>
    </w:p>
    <w:p>
      <w:r>
        <w:t>En l'espèce, le recourant a été condamné à une peine privative de liberté de trois ans. La quotité de la peine exclut par conséquent le sursis complet; seul le sursis partiel au sens de l' art. 43 CP entre en ligne de compte.</w:t>
      </w:r>
    </w:p>
    <w:p>
      <w:r>
        <w:t>Pour le même motif, un cumul de la peine privative de liberté avec une peine pécuniaire ferme, en application de l' art. 42 al. 4 CP , n'entre pas en considération. La seule combinaison envisageable, eu égard à la quotité de la peine, est celle prévue par l' art. 43 CP , soit la combinaison de deux peines de même genre, l'une avec sursis et l'autre ferme (cf. DUPUIS ET AL., Code pénal I, Petit Commentaire, n. 2 ad art. 43 CP ; THOMAS MANHART, Bedingte und teilbedingte Strafen sowie kurze unbedingte Freiheitsstrafen in : Die Revision des Strafgesetzbuches Allgemeiner Teil, p. 119 ss, p. 132; GEORGES GREINER, Bedingte und teilbedingte Strafen, Strafzumessung in : Zur Revision des Allgemeinen Teils des Schweizerischen Strafrechts und zum neuen materiellen Jugendstrafrecht, 2ème éd., 2006, p. 97 ss, 118-119).</w:t>
      </w:r>
    </w:p>
    <w:p>
      <w:r>
        <w:rPr>
          <w:b/>
        </w:rPr>
        <w:t>E. 5</w:t>
      </w:r>
    </w:p>
    <w:p>
      <w:r>
        <w:t>Le recourant succombe et ses conclusions étaient d'emblée dénuées de chances de succès. L'assistance judiciaire doit être refusée ( art. 64 al. 1 LTF ). Le recourant supporte les frais de la cause, qui seront calculés en prenant en considération sa situation économique qui n'apparaît pas favorable (art. 65 al. 2 et 66 al. 1 LTF).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