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6B_327/2008 vom 16. Mai 2008</w:t>
      </w:r>
    </w:p>
    <w:p>
      <w:r>
        <w:t>Bundesgericht, 2008-05-16, DE</w:t>
      </w:r>
    </w:p>
    <w:p>
      <w:r>
        <w:rPr>
          <w:b/>
        </w:rPr>
        <w:t xml:space="preserve">Quelle: </w:t>
      </w:r>
      <w:r>
        <w:t>https://mcp.opencaselaw.ch/entscheid/bger_6B_327_2008</w:t>
      </w:r>
    </w:p>
    <w:p>
      <w:r>
        <w:t>FR: TF 6B_327/2008 du 16 mai 2008</w:t>
      </w:r>
    </w:p>
    <w:p>
      <w:r>
        <w:t>IT: TF 6B_327/2008 del 16 maggio 2008</w:t>
      </w:r>
    </w:p>
    <w:p>
      <w:pPr>
        <w:pStyle w:val="Heading2"/>
      </w:pPr>
      <w:r>
        <w:t>Erwägungen</w:t>
      </w:r>
    </w:p>
    <w:p>
      <w:r>
        <w:rPr>
          <w:b/>
        </w:rPr>
        <w:t>E. 1</w:t>
      </w:r>
    </w:p>
    <w:p>
      <w:r>
        <w:t>Der Beschwerdeführer erhebt Beschwerde gegen das Urteil des Obergerichts des Kantons Zürich vom 3. April 2008. Gemäss Art. 42 Abs. 1 und 2 BGG ist in der Begründung der Beschwerde in gedrängter Form darzulegen, inwiefern der angefochtene Akt Recht verletzt. Die Begründung muss in der Beschwerde selbst enthalten sein. Ein Verweis auf frühere Rechtsschriften ist unzulässig (vgl. BGE 123 IV 42 E. 3a S. 46, mit Hinweisen). Der Beschwerdeführer verweist zur Begründung seiner Beschwerde einzig auf die "Berufung an das Obergericht" und hält lediglich ergänzend fest, das Urteil sei unbegreiflich und nicht nachvollziehbar. Er legt jedoch mit keinem Wort dar, inwiefern das angefochtene Urteil Recht verletzen soll. Da die Beschwerde somit offensichtlich keine hinreichende Begründung enthält, ist darauf im Verfahren nach Art. 108 Abs. 1 lit. b BGG nicht einzutreten.</w:t>
      </w:r>
    </w:p>
    <w:p>
      <w:r>
        <w:rPr>
          <w:b/>
        </w:rPr>
        <w:t>E. 2</w:t>
      </w:r>
    </w:p>
    <w:p>
      <w:r>
        <w:t>Die Gerichtskosten von Fr. 800.--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