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6B_327/2007 vom 16. November 2007</w:t>
      </w:r>
    </w:p>
    <w:p>
      <w:r>
        <w:t>Bundesgericht, 2007-11-16, FR</w:t>
      </w:r>
    </w:p>
    <w:p>
      <w:r>
        <w:rPr>
          <w:b/>
        </w:rPr>
        <w:t xml:space="preserve">Quelle: </w:t>
      </w:r>
      <w:r>
        <w:t>https://mcp.opencaselaw.ch/entscheid/bger_6B_327_2007</w:t>
      </w:r>
    </w:p>
    <w:p>
      <w:r>
        <w:t>FR: TF 6B_327/2007 du 16 novembre 2007</w:t>
      </w:r>
    </w:p>
    <w:p>
      <w:r>
        <w:t>IT: TF 6B_327/2007 del 16 novembre 2007</w:t>
      </w:r>
    </w:p>
    <w:p>
      <w:pPr>
        <w:pStyle w:val="Heading2"/>
      </w:pPr>
      <w:r>
        <w:t>Erwägungen</w:t>
      </w:r>
    </w:p>
    <w:p>
      <w:r>
        <w:rPr>
          <w:b/>
        </w:rPr>
        <w:t>E. 1</w:t>
      </w:r>
    </w:p>
    <w:p>
      <w:r>
        <w:t>La décision attaquée, qui est finale ( art. 90 LTF ), a été rendue en matière pénale ( art. 78 al. 1 LTF ), par une autorité cantonale de dernière instance ( art. 80 al. 1 LTF ), de sorte qu'elle peut faire l'objet d'un recours en matière pénale ( art. 78 ss LTF ).</w:t>
      </w:r>
    </w:p>
    <w:p>
      <w:r>
        <w:rPr>
          <w:b/>
        </w:rPr>
        <w:t>E. 2</w:t>
      </w:r>
    </w:p>
    <w:p>
      <w:r>
        <w:t>Il convient d'examiner en premier lieu si la recourante a qualité pour former le présent recours.</w:t>
      </w:r>
    </w:p>
    <w:p>
      <w:r>
        <w:rPr>
          <w:b/>
        </w:rPr>
        <w:t>E. 2.1</w:t>
      </w:r>
    </w:p>
    <w:p>
      <w:r>
        <w:t>L'infraction, qui seule demeure litigieuse, réprimée par l' art. 219 CP est une infraction de mise en danger concrète ( ATF 126 IV 136 consid. 1b p. 138/139; 125 IV 64 consid. 1a p. 69). Comme telle, elle n'entre en principe pas dans le champ d'application de la LAVI, la notion de victime au sens de l'art. 2 de cette loi impliquant une atteinte effective à l'intégrité corporelle, sexuelle ou psychique ( ATF 129 IV 95 consid. 3.1 p. 98/99; 122 IV 71 consid. 3a p. 76/77; arrêts 1A.272/2004, du 31 mars 2005, consid. 4.1 et 6S.729/2001, du 25 février 2002, publié in SJ 2002 I p. 397, consid. 1). Une exception à ce principe entre toutefois en considération, dans la mesure où une personne mise en danger a souffert de troubles psychologiques en relation directe avec l'acte du délinquant (cf. arrêts 1A.272/2004 consid. 4.1 et 6S.729/2001 consid. 1). Ces considérations valent, mutatis mutandis, pour les personnes que l' art. 2 al. 2 LAVI assimile à la victime, dont font notamment partie les père et mère de celle-ci (cf. arrêt 6S.729/2001 consid. 1).</w:t>
      </w:r>
    </w:p>
    <w:p>
      <w:r>
        <w:t>Au vu de cette jurisprudence, on peut se demander si la recourante, en tant que mère de l'enfant prétendument victime de l'infraction réprimée par l' art. 219 CP , est habilitée à recourir pour se plaindre du refus de suivre à l'action pénale à raison de l'infraction litigieuse. La question peut toutefois demeurer indécise.</w:t>
      </w:r>
    </w:p>
    <w:p>
      <w:r>
        <w:rPr>
          <w:b/>
        </w:rPr>
        <w:t>E. 2.2</w:t>
      </w:r>
    </w:p>
    <w:p>
      <w:r>
        <w:t>La qualité pour recourir d'une personne que l' art. 2 al. 2 LAVI assimile à la victime est subordonnée à la condition qu'elle puisse faire valoir des prétentions civiles contre l'auteur de l'infraction qu'elle invoque (cf. art. 2 al. 2 let. b LAVI ). Or, tel n'est pas le cas en l'espèce.</w:t>
      </w:r>
    </w:p>
    <w:p>
      <w:r>
        <w:t>L'intimée Y.________ est assistante sociale auprès du SEJ, dont l'intimé Z.________ est le chef. Il s'agit d'un service de l'Etat, rattaché à la Direction de la santé et des affaires sociales du canton de Fribourg, dont il est l'organe d'exécution en matière de protection de l'enfance et de la jeunesse (art. 22 de la loi fribourgeoise sur l'enfance et la jeunesse du 12 mai 2006; RSF 835.5). On doit en déduire que les intimés, qui exercent une activité au service de l'Etat, pour laquelle ils sont rémunérés, font partie du personnel de l'Etat (cf. art. 2 de la loi fribourgeoise sur le statut du personnel de l'Etat; RSF 122.70.1), dont ils sont des agents au sens de l'art. 3 de la loi fribourgeoise sur la responsabilité civile des collectivités publiques et de leurs agents du 16 septembre 1986 (RSF 16.1). Or, l'art. 6 de cette loi prévoit que les collectivités publiques répondent du préjudice que leurs agents causent d'une manière illicite à autrui dans l'exercice de leurs fonctions, en précisant que le lésé ne peut faire valoir aucune prétention contre l'agent. Il en découle que les agents de l'Etat ne sont pas tenus personnellement envers le lésé de réparer le dommage qu'ils pourraient lui avoir causé, le droit cantonal instituant une responsabilité primaire et exclusive de la collectivité publique. Par conséquent, la recourante ne dispose d'aucune prétention civile, qu'elle puisse faire valoir dans un procès pénal, à l'encontre des intimés. Elle n'a donc pas qualité pour recourir.</w:t>
      </w:r>
    </w:p>
    <w:p>
      <w:r>
        <w:rPr>
          <w:b/>
        </w:rPr>
        <w:t>E. 2.3</w:t>
      </w:r>
    </w:p>
    <w:p>
      <w:r>
        <w:t>Le recours doit ainsi être déclaré irrecevable. Comme il était d'emblée voué à l'échec, l'assistance judiciaire ne peut être accordée ( art. 64 al. 1 LTF ). La recourante devra donc supporter les frais ( art. 66 al. 1 LTF ), dont le montant sera toutefois fixé en tenant compte de sa situation financière. Il n'y a pas lieu d'allouer une indemnité aux intimés, qui n'ont pas été amenés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