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325/2022 vom 22. Mai 2023</w:t>
      </w:r>
    </w:p>
    <w:p>
      <w:r>
        <w:t>Bundesgericht, 2023-05-22, FR</w:t>
      </w:r>
    </w:p>
    <w:p>
      <w:r>
        <w:rPr>
          <w:b/>
        </w:rPr>
        <w:t xml:space="preserve">Quelle: </w:t>
      </w:r>
      <w:r>
        <w:t>https://mcp.opencaselaw.ch/entscheid/bger_6B_325_2022</w:t>
      </w:r>
    </w:p>
    <w:p>
      <w:r>
        <w:t>FR: TF 6B 325/2022 du 22 mai 2023</w:t>
      </w:r>
    </w:p>
    <w:p>
      <w:r>
        <w:t>IT: TF 6B 325/2022 del 22 maggio 2023</w:t>
      </w:r>
    </w:p>
    <w:p>
      <w:pPr>
        <w:pStyle w:val="Heading2"/>
      </w:pPr>
      <w:r>
        <w:t>Regeste</w:t>
      </w:r>
    </w:p>
    <w:p>
      <w:r>
        <w:t>Expulsion | Droit pénal (en général)</w:t>
      </w:r>
    </w:p>
    <w:p>
      <w:pPr>
        <w:pStyle w:val="Heading2"/>
      </w:pPr>
      <w:r>
        <w:t>Erwägungen</w:t>
      </w:r>
    </w:p>
    <w:p>
      <w:r>
        <w:rPr>
          <w:b/>
        </w:rPr>
        <w:t>E. 1</w:t>
      </w:r>
    </w:p>
    <w:p>
      <w:r>
        <w:t>Le recourant conteste le prononcé de l'expulsion.</w:t>
      </w:r>
    </w:p>
    <w:p>
      <w:r>
        <w:rPr>
          <w:b/>
        </w:rPr>
        <w:t>E. 1.1</w:t>
      </w:r>
    </w:p>
    <w:p>
      <w:r>
        <w:t>Aux termes de l' art. 66a bis CP , le juge peut expulser un étranger du territoire suisse pour une durée de trois à quinze ans si, pour un crime ou un délit non visé à l' art. 66a CP , celui-ci a été condamné à une peine ou a fait l'objet d'une mesure au sens des art. 59 à 61 ou 64 CP. L'expulsion facultative prévue à l' 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(arrêts 6B_40/2022 du 2 février 2023 consid. 2.1;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(arrêts 6B_40/2022 précité consid. 2.1; 6B_693/2020 précité consid. 7.1.1; 6B_1005/2020 du 22 décembre 2020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p. 19; 135 II 377 consid. 4.3 p. 381; arrêts 6B_756/2021 du 23 mars 2022 consid. 4.1; 6B_1005/2020 précité consid. 1.1). Les éléments d'ordre médical doivent être pris en compte dans l'examen de l' art. 8 par. 2 CEDH ( ATF 145 IV 455 consid. 9.1 p. 459; arrêts 6B_908/2019 du 5 novembre 2019 consid. 2.1 in fine; 6B_770/2018 du 24 septembre 2018 consid. 2.1; arrêts CourEDH Hasanbasic contre Suisse du 11 juin 2013 [requête n° 52166/09] § 54; Emre contre Suisse du 22 mai 2008 [requête n° 42034/04] § 71).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(arrêts 6B_908/2019 précité consid. 2.1 in fine et les références citées). L'art. 66a al. 2 deuxième phrase CP impose expressément de tenir compte de la situation particulière de l'étranger qui est né ou qui a grandi en Suisse. Cette disposition, voulue comme exception à l'expulsion obligatoire de l' art. 66a al. 1 CP , doit également être prise en considération dans le cadre de l'expulsion facultative selon l' art. 66a bis CP (arrêt 6B_1005/2020 précité consid. 1.1 et les références citées).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 ATF 144 IV 332 consid. 3.3.3 p. 341 s.; arrêts 6B_756/2021 précité consid. 4.1; 6B_1005/2020 précité consid. 1.1; 6B_925/2019 du 16 octobre 2019 consid. 1.1).</w:t>
      </w:r>
    </w:p>
    <w:p>
      <w:r>
        <w:rPr>
          <w:b/>
        </w:rPr>
        <w:t>E. 1.2</w:t>
      </w:r>
    </w:p>
    <w:p>
      <w:r>
        <w:t>La cour cantonale a relevé que le recourant, originaire de Bosnie-Herzégovine était né en 1994 en Allemagne et était arrivé en Suisse avec sa famille alors qu'il était âgé de quatre ans. Il était titulaire d'un permis F (admission provisoire) dont la demande de renouvellement avait été présentée pour la dernière fois en août 2020. Ses parents, auprès desquels il vivait avant d'être incarcéré, étaient repartis vivre en Bosnie-Herzégovine en juin 2018. Le recourant qui parlait le bosniaque en famille, semblait entretenir des liens assez étroits au moins avec l'une de ses soeurs, domiciliée à Y.________, qui avait été entendue par le tribunal de première instance et lui rendait visite en prison. Hormis cela, son réseau social en Suisse était fort mince, puisqu'il se résumait à un groupe de jeunes de la région de W.________, peu stables au niveau socio-professionnels et consommateurs de stupéfiants. Il n'avait par ailleurs plus de contacts avec sa fille âgée de quatre ans, ni avec la mère de celle-ci, toutes deux étant reparties vivre en Italie, dont elles possédaient la nationalité. Le recourant avait suivi toute sa scolarité obligatoire en Suisse mais son parcours avait été pour le moins chaotique ayant rapidement dû intégrer une classe spécialisée. Il avait par ailleurs, dès 2011, occupé défavorablement les services du Tribunal des mineurs du canton de Vaud, cette autorité l'ayant condamné le 3 mai 2012 pour infraction à la loi fédérale sur les armes. Âgé de 27 ans révolus au jour du jugement, il ne disposait d'aucune formation professionnelle et n'avait que très sporadiquement exercé une activité lucrative à l'occasion des vendanges émargeant, pour le surplus, à l'aide sociale. Il avait délivré jusqu'au 25 mars 2019, 26 actes de défaut de biens pour la somme de 18'203 fr. 85, la plupart en lien avec des amendes auprès des CFF, ou des frais de justice ou de santé impayés. Interrogé lors des débats de première instance sur un éventuel retour dans son pays d'origine il avait relaté que "ce[la] serait très difficile", n'y connaissant que ses parents qui vivaient désormais là-bas, ainsi qu'un oncle. Au sujet de ses perspectives professionnelles à sa sortie de prison, il avait indiqué souhaiter trouver une école de dessin, cette dernière activité l'aidant à se sentir bien. La cour cantonale a souligné que la faute du recourant en relation avec les chefs d'accusation dont il avait été reconnu coupable avait été qualifiée de lourde. La peine privative de liberté, ferme, à laquelle il avait été condamné, soit 18 mois, essentiellement en raison des lésions corporelles simples infligées à D.________, était d'ailleurs plutôt importante et propre à faire obstacle à un nouveau renouvellement de son titre de séjour par l'autorité administrative compétente voire à justifier une révocation de son admission provisoire. L'extrait de son casier judiciaire démontrait par ailleurs que le recourant était coutumier des infractions contre l'intégrité physique, puisque, entre février 2016 et février 2018, il avait fait l'objet de trois condamnations pour voies de fait, puis rixe et enfin lésions corporelles simples. Durant le même laps de temps, il avait également été l'auteur, à des dates différentes, de dommages à la propriété, d'une violation de domicile, d'injures et de menaces. La diversité des biens juridiques transgressés, en l'espace de quelques années, par le recourant qui, pour mémoire, n'avait que 27 ans, démontrait son incapacité à respecter l'ordre public suisse. Les différentes condamnations précédentes à des peines pécuniaires, la dernière le 26 février 2018 à 150 jours-amende (sans sursis), ne l'avaient par ailleurs nullement détourné de la délinquance puisque, moins de deux mois plus tard, le 14 avril 2018, il avait été impliqué dans les événements au préjudice de B.________ et de D.________. Le temps écoulé depuis lors n'était pas très important. Après s'être vu mettre au bénéfice, le 10 septembre 2018, de mesures de substitution qui lui avaient permis de recouvrer la liberté dans l'attente de son jugement, le recourant ne les avait plus respectées ce qui avait justifié son retour en détention préventive à compter du 11 janvier 2021. Son incapacité à observer, à moyen terme, le cadre qui lui était fixé par les autorités était ainsi avérée. Preuve en était également le prononcé relativement récent de plusieurs sanctions disciplinaires alors qu'il se trouvait en détention. La cour cantonale a encore indiqué que le recourant résidait certes en Suisse depuis plus de vingt ans, si bien qu'il disposait, en principe, d'un intérêt privé à y demeurer. Celui-ci devait cependant être formellement relativisé dans la mesure où ses propres parents avec lesquels il avait conservé, semblait-t-il, de bons contacts étaient retournés habiter en Bosnie-Herzégovine, tandis que sa fille mineure et la mère de celle-ci avaient regagné l'Italie. Le recourant, qui n'avait certes jamais vécu dans son État d'origine mais dont il maîtrisait la langue, n'avait jamais subvenu à ses propres besoins et ses perspectives de réinsertion en Suisse à l'issue de son exécution de peine étaient quasiment inexistantes de sorte que l'on ne voyait pas en quoi un retour au pays représenterait une péjoration de sa situation sous cet angle. Enfin, hormis les troubles de la personnalité mis en évidence dans l'expertise psychiatrique, le recourant ne souffrait pas d'une maladie nécessitant des soins que son État d'origine ne serait pas à même de lui procurer. En comparaison, l'intérêt public à ce que le recourant soit expulsé de Suisse était prépondérant, au vu du nombre et de la gravité des infractions - en particulier contre l'intégrité physique - perpétrées en l'espace de quelques années, signes de son incapacité durable à demeurer sur le droit chemin. La cour cantonale a ainsi estimé que, dans ces circonstances, l'expulsion du recourant au sens de l' art. 66a bis CP devait être ordonnée pour une durée de six ans, au vu du risque élevé de récidive d'actes du même type, tel que mis en exergue par l'expert judiciaire en l'absence de poursuite du traitement psychothérapeutique.</w:t>
      </w:r>
    </w:p>
    <w:p>
      <w:r>
        <w:rPr>
          <w:b/>
        </w:rPr>
        <w:t>E. 1.3</w:t>
      </w:r>
    </w:p>
    <w:p>
      <w:r>
        <w:t>Le recourant conteste la pesée des intérêts effectuée par la cour cantonale. Il soutient que l'intérêt public aurait été surévalué par la cour cantonale. Celle-ci n'aurait pas tenu compte du fait qu'il aurait admis le traitement ambulatoire et entendrait s'y soumettre, ce qui diminuerait considérablement le risque de récidive, pas plus qu'elle n'aurait examiné les chances de réintégration au terme de son traitement. En substance, la cour cantonale a posé un pronostic défavorable quant au comportement futur du recourant, se référant en particulier à l'expertise psychiatrique dont il ressort que le risque de réitération d'infractions à l'intégrité physique et à la LStup est élevé. Par ailleurs, il ressort du jugement cantonal que le recourant a, dès 2011, occupé défavorablement les services du Tribunal des mineurs du canton de Vaud, cette autorité l'ayant condamné le 3 mai 2012 pour infraction à la loi fédérale sur les armes. L'extrait de son casier judiciaire indique qu'entre février 2016 et février 2018, il a fait l'objet de trois condamnations pour voies de fait, puis rixe et enfin lésions corporelles simples et, durant le même laps de temps, qu'il a également été l'auteur, à des dates différentes, de dommages à la propriété d'une violation de domicile, d'injures et de menaces. De l'avis des juges cantonaux, les antécédents du recourant indiquaient qu'il était coutumier des infractions contre l'intégrité physique et la diversité des biens juridiques transgressés en l'espace de quelques années démontrait son incapacité à respecter l'ordre public suisse. Les différentes condamnations à des peines pécuniaires ne l'avaient par ailleurs nullement détourné de la délinquance puisque, moins de deux mois après la dernière, il avait été impliqué dans les événements au préjudice de B.________ et de D.________. Enfin, même en détention, il était incapable de respecter le cadre fixé, ce qui avait conduit au prononcé de plusieurs sanctions disciplinaires. Compte tenu des éléments mis en exergue par la cour cantonale, celle-ci pouvait en conclure que le comportement du recourant en général dénotait d'un grand mépris pour l'ordre juridique suisse. A cet égard, s'il est vrai que le traitement ambulatoire qui a été ordonné a pour but de diminuer le risque de récidive, il n'en demeure pas moins qu'à l'heure actuelle, il a été constaté que le recourant présentait un risque de réitération élevé notamment d'actes de violence physique. Pour le surplus, la cour cantonale a exposé les motifs pour lesquels elle estimait que les perspectives de réinsertion du recourant en Suisse étaient quasi inexistantes et le recourant ne s'en prend pas à cette motivation. Il n'expose pas davantage en quoi, au terme de son traitement, ses chances seraient différentes, étant rappelé que le traitement ambulatoire a pour but la diminution du risque de réitération et non l'intégration en Suisse. Le recourant soutient en outre que la cour cantonale n'aurait pas tenu compte de certains éléments ressortant de l'expertise psychiatrique, en particulier de deux placements à des fins d'assistance en milieu psychiatrique, des démarches effectuées auprès de l'assurance-invalidité et de son "intelligence limite". Concernant les deux premiers éléments cités, ceux-ci ressortent de la description de la situation personnelle du recourant (cf. jugement attaqué consid. 6.2.1) si bien que la cour cantonale ne les a pas ignorés. A cet égard, peu importe qu'ils n'apparaissent pas expressément dans la motivation concernant l'expulsion mais ailleurs dans le jugement. La cour cantonale n'était en effet pas tenue de les répéter au stade de l'expulsion car le jugement forme un tout et on admet que le juge garde à l'esprit l'ensemble des éléments qui y figurent (parmi de nombreux autres: arrêts 6B_252/2022 du 11 avril 2023 consid. 5.3; 6B_886/2022 du 29 mars 2023 consid. 1.4.2; 6B_282/2022 du 13 janvier 2023 consid. 2.4). Quant à son "intelligence limite", elle n'a pas été retenue, en tant que telle, par l'expertise psychiatrique mais ressort uniquement du rapport d'expertise en tant que celui-ci résume le dossier médical du patient, soit notamment les constats effectués par d'autres médecins lors de l'hospitalisation du recourant en secteur psychiatrique en 2015. Or le recourant ne s'en prend aucunement à l'expertise psychiatrique. Il ne prétend en particulier pas que les conclusions du rapport d'expertise - qui ne retiennent pas le constat d'"intelligence limite" - seraient insoutenables et ne démontre par conséquent pas en quoi il était arbitraire de s'y rallier, comme l'a fait la cour cantonale. Pour le surplus, la cour cantonale n'a pas ignoré le diagnostic posé par l'expert et ses conséquences sur le comportement du recourant, dont elle a tenu compte dans son appréciation. Le recourant soutient qu'il serait évident qu'une personne souffrant des troubles dont il souffre connaîtrait des difficultés d'intégration considérables dans un pays dont il ignore tout. A cet égard, la cour cantonale a retenu que les perspectives de réinsertion du recourant en Suisse étaient quasi inexistantes. On ne distingue dès lors pas en quoi les difficultés d'intégration dont le recourant fait état - qui se sont déjà manifestées tout au long de son séjour en Suisse - seraient différentes s'il restait dans ce pays. Par ailleurs, il convient de rappeler que le recourant parle le bosniaque, que ses parents vivent désormais dans ce pays, comme une partie de sa famille. En tant que le recourant se prévaut de la médiocrité du système de santé bosniaque et de l'absence de mesures de réinsertion dans ce pays, il s'écarte des faits constatés dans le jugement cantonal, sans en démontrer le caractère arbitraire. Son argument est, partant, irrecevable. Quoi qu'il en soit, pour autant qu'il n'existe aucune mesure d'insertion en Bosnie-Herzégovine, c'est le lieu de rappeler que l'Office AI a renoncé à mettre en oeuvre une mesure d'insertion et de reconversion en faveur du recourant, en raison de son manque de collaboration, si bien qu'il ne bénéficie pas de prestations en Suisse dont il ne bénéficierait plus en Bosnie-Herzégovine. En outre, comme cela ressort de l'expertise psychiatrique, le traitement dont le recourant devrait bénéficier est un "suivi spécialisé ambulatoire auprès d'un médecin spécialiste en psychiatrie et psychothérapie" (cf. art. 105 al. 2 LTF ; dossier cantonal, pièces 252 ss, en particulier 259). En d'autres termes, le traitement préconisé consiste en un suivi thérapeutique chez un médecin psychiatre, c'est-à-dire un traitement peu complexe à mettre en place. Or le recourant ne prétend, ni ne démontre que de tels médecins n'existeraient pas en Bosnie-Herzégovine. Enfin, le recourant ne fait que rappeler qu'il a grandi en Suisse, sans autre argumentation. Il n'expose en particulier pas en quoi la cour cantonale, qui a tenu compte de cet élément dans son appréciation du principe de la proportionnalité, aurait accordé un poids insuffisant à celui-ci et tel n'apparaît pas être le cas. En définitive, les considérations cantonales quant au prononcé de l'expulsion ne sont pas critiquables et il peut y être entièrement renvoyé. Compte tenu de la persistance du recourant à violer l'ordre juridique suisse, de la gravité des faits pour lesquels il a été condamné et de sa médiocre intégration en Suisse, l'intérêt public à son éloignement l'emporte sur son intérêt privé à demeurer en Suisse, même si l'intégration de l'intéressé dans son pays d'origine ne sera pas facile. Le recourant ne remet pas en cause la durée de l'expulsion, ni l'inscription de celle-ci dans le SIS, points qu'il n'y a dès lors pas lieu d'examiner plus avant. Partant, l'autorité précédente n'a pas méconnu les art. 8 CEDH et 66a bis CP, ni violé le principe de la proportionnalité en prononçant l'expulsion du recourant pour une durée de six ans.</w:t>
      </w:r>
    </w:p>
    <w:p>
      <w:r>
        <w:rPr>
          <w:b/>
        </w:rPr>
        <w:t>E. 2</w:t>
      </w:r>
    </w:p>
    <w:p>
      <w:r>
        <w:t>Le recours doit être rejeté. 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