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6B_324/2007 vom 5. Oktober 2007</w:t>
      </w:r>
    </w:p>
    <w:p>
      <w:r>
        <w:t>Bundesgericht, 2007-10-05, DE</w:t>
      </w:r>
    </w:p>
    <w:p>
      <w:r>
        <w:rPr>
          <w:b/>
        </w:rPr>
        <w:t xml:space="preserve">Quelle: </w:t>
      </w:r>
      <w:r>
        <w:t>https://mcp.opencaselaw.ch/entscheid/bger_6B_324_2007</w:t>
      </w:r>
    </w:p>
    <w:p>
      <w:r>
        <w:t>FR: TF 6B_324/2007 du 5 octobre 2007</w:t>
      </w:r>
    </w:p>
    <w:p>
      <w:r>
        <w:t>IT: TF 6B_324/2007 del 5 ottobre 2007</w:t>
      </w:r>
    </w:p>
    <w:p>
      <w:pPr>
        <w:pStyle w:val="Heading2"/>
      </w:pPr>
      <w:r>
        <w:t>Erwägungen</w:t>
      </w:r>
    </w:p>
    <w:p>
      <w:r>
        <w:rPr>
          <w:b/>
        </w:rPr>
        <w:t>E. 1</w:t>
      </w:r>
    </w:p>
    <w:p>
      <w:r>
        <w:t>Der Beschwerdeführer bringt vor, er habe bereits in der Appellationsbegründung vom 6. Februar 2007 ausführlich dargelegt, dass keine gehörigen Belastungstatsachen für seine Täterschaft vorlägen, weshalb er darauf verweise. Vor allem aber legt er ein Schreiben B.S.________s vom 22. Juni 2007 ins Recht, worin dieser ausführt, er habe das Tatfahrzeug gelenkt. Er mache diese Aussage, damit nicht sein Sohn A.S.________ zu Unrecht für ein Vergehen bestraft werde, das er nicht begangen habe. Der Beschwerdeführer hält dafür, der angefochtene Entscheid habe B.S.________ Anlass zum Verfassen dieses Geständnisses geboten, und es sei entscheidend für den Ausgang des Verfahrens, weshalb es sich um ein zulässiges Novum handle.</w:t>
      </w:r>
    </w:p>
    <w:p>
      <w:r>
        <w:rPr>
          <w:b/>
        </w:rPr>
        <w:t>E. 2.1</w:t>
      </w:r>
    </w:p>
    <w:p>
      <w:r>
        <w:t>Das Bundesgericht legt seinem Urteil den Sachverhalt zu Grunde, den die Vorinstanz festgestellt hat ( Art. 105 Abs. 1 BGG ). Der Beschwerdeführer kann tatsächliche Feststellungen nur rügen, wenn sie offensichtlich unrichtig sind oder auf einer Rechtsverletzung beruhen und die Behebung des Mangels den Ausgang des Verfahrens beeinflussen kann ( Art. 97 BGG ). Neue Tatsachen und Beweismittel dürfen nur so weit vorgebracht werden, als erst der angefochtene Entscheid dazu Anlass gab ( Art. 99 Abs. 1 BGG ; BGE 133 III 393 E. 3 mit Hinweis auf die analoge Praxis zur altrechtlichen staatsrechtlichen Beschwerde). Aus der Beschränkung der bundesgerichtlichen Sachverhaltsprüfung auf offensichtlich falsche bzw. willkürliche Feststellungen, wie sie regelmässig bereits in gleicher Weise für die altrechtliche Verwaltungsgerichtsbeschwerde galt (soweit eine richterliche Behörde als Vorinstanz tätig war, Art. 105 Abs. 2 OG ), hat das Bundesgericht in konstanter Praxis auch für dieses Rechtsmittel abgeleitet, dass echte tatsächliche Noven, das heisst solche Tatsachen, die erst nach dem Ergehen des angefochtenen Entscheids aufgetreten sind, unzulässig sind ( BGE 130 II 493 E. 2; 128 II 145 E. 1.2.1, je mit Hinweisen). Daran wollte der Gesetzgeber für das neurechtliche Beschwerdeverfahren ausdrücklich festhalten (Botschaft des Bundesrates zur Totalrevision der Bundesrechtspflege vom 28. Februar 2001, BBl 2001 S. 4340). Dies ist auch durchaus folgerichtig, haben doch die Kantone nach Art. 385 StGB gegenüber Strafurteilen die Wiederaufnahme des Verfahrens zu Gunsten des Verurteilten zu gestatten, wenn erhebliche Tatsachen oder Beweismittel aufgetaucht sind, die dem urteilenden Gericht nicht bekannt waren.</w:t>
      </w:r>
    </w:p>
    <w:p>
      <w:r>
        <w:rPr>
          <w:b/>
        </w:rPr>
        <w:t>E. 2.2</w:t>
      </w:r>
    </w:p>
    <w:p>
      <w:r>
        <w:t>Das vom Beschwerdeführer eingereichte schriftliche Geständnis seines Vaters datiert vom 22. Juni 2007. Es ist nach dem angefochtenen Urteil vom 24. Mai 2007 entstanden und damit ein echtes tatsächliches Novum; als solches ist es nach dem Gesagten im vorliegenden Beschwerdeverfahren unbeachtlich.</w:t>
      </w:r>
    </w:p>
    <w:p>
      <w:r>
        <w:t>Man könnte sich zudem mit Fug fragen, ob das angefochtene Urteil erst Anlass gab im Sinne von Art. 99 Abs. 1 BGG zur Einreichung dieses Beweismittels. Der Vater (einmal vorausgesetzt, das Geständnis entspricht der Wahrheit) wusste bereits während des kantonalen Verfahrens, dass sein Sohn die ihm vorgeworfene Verkehrsregelverletzung nicht begangen haben konnte. Er hat nach seinen eigenen Angaben sein Geständnis nur eingereicht, weil dieses mit der Verurteilung seines Sohnes endete. Es kann nicht der Sinn dieser Bestimmung sein, Nova zuzulassen, nur weil der Ausgang des Verfahrens nicht den Erwartungen des Betroffenen entsprach. Das eingereichte Geständnis ist somit auch aus diesem Grund unbeachtlich.</w:t>
      </w:r>
    </w:p>
    <w:p>
      <w:r>
        <w:rPr>
          <w:b/>
        </w:rPr>
        <w:t>E. 2.3</w:t>
      </w:r>
    </w:p>
    <w:p>
      <w:r>
        <w:t>Nach Art. 42 Abs. 1 BGG hat die Beschwerde u.a. die Begehren und deren Begründung mit Angabe der Beweismittel zu enthalten. Diesen Anforderungen genügt die Beschwerde insoweit nicht, als sie zur Begründung auf die Appellationsbegründung vom 6. Februar 2007 verweist. Darauf ist nicht einzutreten. Soweit sich die Beschwerde selber mit der vorinstanzlichen Beweiswürdigung auseinandersetzt, erschöpfen sich die Vorbringen in rein appellatorischer Kritik, die von vornherein nicht geeignet ist, sie als offensichtlich falsch bzw. willkürlich im Sinn von Art. 97 Abs. 1 BGG ( BGE 133 II 249 E. 1.2.2 ; 133 I 350 E. 1.3) nachzuweisen. Darauf ist nicht einzutreten.</w:t>
      </w:r>
    </w:p>
    <w:p>
      <w:r>
        <w:rPr>
          <w:b/>
        </w:rPr>
        <w:t>E. 3</w:t>
      </w:r>
    </w:p>
    <w:p>
      <w:r>
        <w:t>Auf die Beschwerde ist somit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