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6B_323/2024 vom 11. März 2026</w:t>
      </w:r>
    </w:p>
    <w:p>
      <w:r>
        <w:t>Bundesgericht, 2026-03-11, DE</w:t>
      </w:r>
    </w:p>
    <w:p>
      <w:r>
        <w:rPr>
          <w:b/>
        </w:rPr>
        <w:t xml:space="preserve">Quelle: </w:t>
      </w:r>
      <w:r>
        <w:t>https://mcp.opencaselaw.ch/entscheid/bger_6B_323_2024</w:t>
      </w:r>
    </w:p>
    <w:p>
      <w:r>
        <w:t>FR: TF 6B_323/2024 du 11 mars 2026</w:t>
      </w:r>
    </w:p>
    <w:p>
      <w:r>
        <w:t>IT: TF 6B_323/2024 del 11 marzo 2026</w:t>
      </w:r>
    </w:p>
    <w:p>
      <w:pPr>
        <w:pStyle w:val="Heading2"/>
      </w:pPr>
      <w:r>
        <w:t>Erwägungen</w:t>
      </w:r>
    </w:p>
    <w:p>
      <w:r>
        <w:rPr>
          <w:b/>
        </w:rPr>
        <w:t>E. 1</w:t>
      </w:r>
    </w:p>
    <w:p>
      <w:r>
        <w:t>Der Beschwerdeführer wendet sich zunächst gegen den Schuldspruch wegen Vergewaltigung und sinngemäss auch gegen denjenigen wegen sexueller Nötigung.</w:t>
      </w:r>
    </w:p>
    <w:p>
      <w:r>
        <w:rPr>
          <w:b/>
        </w:rPr>
        <w:t>E. 1.1</w:t>
      </w:r>
    </w:p>
    <w:p>
      <w:r>
        <w:t>Er moniert, die Vorinstanz werfe ihm vor, er habe sich das Vertrauen der Beschwerdegegnerin 2 erschlichen, obwohl in der Anklage nicht ausgeführt werde, inwiefern und mit welchem konkreten Verhalten er das getan haben solle. Indem die Vorinstanz dennoch darauf abstelle, verletze sie Art. 350 StPO . Die Vorinstanz verfalle zudem in Willkür, wenn sie davon ausgehe, die Beschwerdegegnerin 2 habe geografisch weit von ihrer Familie entfernt gewohnt, obwohl die Entfernung zur Schwester nur 40 bzw. zum Neffen 60 km betragen habe. Sinngemäss macht der Beschwerdeführer geltend, die Vorinstanz begründe nicht hinreichend, inwiefern eine soziale und körperliche Dominanz seinerseits vorgelegen habe.</w:t>
      </w:r>
    </w:p>
    <w:p>
      <w:r>
        <w:rPr>
          <w:b/>
        </w:rPr>
        <w:t>E. 1.2.1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1.2.2</w:t>
      </w:r>
    </w:p>
    <w:p>
      <w:r>
        <w:t>Nach dem aus Art. 29 Abs. 2 und 32 Abs. 2 BV sowie Art. 6 Ziff. 1 und 3 lit. a und b EMRK abgeleiteten Anklagegrundsatz ( Art. 9 und 325 StPO ) bestimmt die Anklageschrift den Gegenstand des Gerichtsverfahrens (Umgrenzungsfunktion).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6B_62/2024 vom 13. September 2024 E. 3.1; je mit Hinweisen). Solange klar ist, welcher Sachverhalt der beschuldigten Person vorgeworfen wird, kann auch eine fehlerhafte und unpräzise Anklage nicht dazu führen, dass es zu keinem Schuldspruch kommen darf ( BGE 149 IV 128 E. 1.2; 145 IV 407 E. 3.3.2).</w:t>
      </w:r>
    </w:p>
    <w:p>
      <w:r>
        <w:rPr>
          <w:b/>
        </w:rPr>
        <w:t>E. 1.2.3</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1.3</w:t>
      </w:r>
    </w:p>
    <w:p>
      <w:r>
        <w:t>Den Rügen des Beschwerdeführers ist kein Erfolg beschieden.</w:t>
      </w:r>
    </w:p>
    <w:p>
      <w:r>
        <w:rPr>
          <w:b/>
        </w:rPr>
        <w:t>E. 1.3.1</w:t>
      </w:r>
    </w:p>
    <w:p>
      <w:r>
        <w:t>Die Vorinstanz setzt sich insbesondere mit den aufgrund der vorhandenen Chat-Nachrichten gut dokumentierten Drohungen des Beschwerdeführers auseinander und legt dar, dass diese in krassem Widerspruch zu seiner positiven Selbstdarstellungen stünden. Die Nachrichten belegten ein "herrisches, besitzergreifendes und beleidigendes Verhalten". Die Vorinstanz verweist weiter auf das junge Alter der Beschwerdegegnerin 2, die im Tatzeitpunkt knapp 18 Jahre alt gewesen sei, und den deutlichen Altersunterschied zum damals 36-jährigen Beschwerdeführer. Sie berücksichtigt weiter, dass die Beschwerdegegnerin 2 erst Anfang August 2020 ihre Lehre im Hotel aufgenommen habe, in dem der Beschwerdeführer bereits als Koch und Pizzaiolo gearbeitet habe. Dass die Vorinstanz bei dieser Ausgangslage, in der der Beschwerdeführer der Beschwerdegegnerin 2 gedroht haben soll, sie am Arbeitsplatz schlecht zu machen, davon ausgeht, er sei ihr abgesehen von der körperlichen Überlegenheit auch sozial überlegen bzw. er sei dominant gewesen, ist ohne Weiteres nachvollziehbar. Eine Verletzung der Begründungspflicht ist nicht auszumachen.</w:t>
      </w:r>
    </w:p>
    <w:p>
      <w:r>
        <w:rPr>
          <w:b/>
        </w:rPr>
        <w:t>E. 1.3.2</w:t>
      </w:r>
    </w:p>
    <w:p>
      <w:r>
        <w:t>Im Weiteren legt der Beschwerdeführer nicht nachvollziehbar dar, inwiefern die Vorinstanz bei der Sachverhaltsfeststellung in Willkür verfallen sein soll, wenn sie davon ausgeht, die Beschwerdegegnerin 2 habe "alleine und von ihrer Ursprungsfamilie getrennt und geografisch entfernt" gewohnt. Sie verkennt nicht, dass ihr Neffe in U.________ und ihre Schwester in V.________ gewohnt hätten. Darin liegt keine Willkür.</w:t>
      </w:r>
    </w:p>
    <w:p>
      <w:r>
        <w:rPr>
          <w:b/>
        </w:rPr>
        <w:t>E. 1.3.3</w:t>
      </w:r>
    </w:p>
    <w:p>
      <w:r>
        <w:t>Auch eine Verletzung des Anklagegrundsatzes ist nicht zu erkennen. Die Anklageschrift umschreibt hinreichend genau, welcher konkreter Handlungen der Beschwerdeführer beschuldigt und wie das Verhalten rechtlich qualifiziert wird. So wird explizit ausgeführt, die Beschwerdegegnerin 2 sei davon ausgegangen, dass der Beschwerdeführer "als Kollege zu ihr käme, um sie zu unterstützen, da sie sich kurz zuvor von ihrem damaligen Freund getrennt hatte" (Anklageschrift S. 2). Er sei ihr dann jedoch "plötzlich immer näher" gekommen. Wenn die Vorinstanz davon ausgeht, der Beschwerdeführer habe sich das Vertrauen der Beschwerdegegnerin 2 erschlichen, "indem er sie nach der Trennung von ihrem Freund unterstützte und aufmunterte" (angefochtener Entscheid S. 36), bewegt sie sich innerhalb des angeklagten Sachverhalts.</w:t>
      </w:r>
    </w:p>
    <w:p>
      <w:r>
        <w:rPr>
          <w:b/>
        </w:rPr>
        <w:t>E. 2.1</w:t>
      </w:r>
    </w:p>
    <w:p>
      <w:r>
        <w:t>Gegen die rechtliche Würdigung der Vorinstanz bringt der Beschwerdeführer vor, die Vorinstanz bejahe zu Unrecht die Tatvariante des "unter psychischen Druck"-Setzens und wende damit Art. 190 StGB falsch an. So soll er den Widerstand der Beschwerdegegnerin 2 dadurch gebrochen haben, dass er ihr gedroht habe, sie bei ihrer Familie und ihrem Chef zu kompromittieren. Die Drohung, nahestehenden Personen zu erzählen, "was die Beschwerdegegnerin 2 für eine sei", oder dem Chef Lügen über sie zu erzählen, würde die besondere Intensität des psychischen Drucks im Sinne des Tatbestands nicht erreichen. Zwischen ihm und der Beschwerdegegnerin 2 habe kein Abhängigkeitsverhältnis bestanden. Vielmehr hätten sie getrennt gewohnt und er sei ihr auch bei der gemeinsamen Arbeit im Hotel C.________ nicht übergeordnet gewesen.</w:t>
      </w:r>
    </w:p>
    <w:p>
      <w:r>
        <w:rPr>
          <w:b/>
        </w:rPr>
        <w:t>E. 2.2.1</w:t>
      </w:r>
    </w:p>
    <w:p>
      <w:r>
        <w:t>Eine Vergewaltigung nach aArt. 190 Abs. 1 StGB begeht, wer eine Person weiblichen Geschlechts zur Duldung des Beischlafs nötigt, namentlich indem er sie bedroht, Gewalt anwendet, sie unter psychischen Druck setzt oder zum Widerstand unfähig macht. Den Tatbestand der sexuellen Nötigung im Sinne von aArt. 189 Abs. 1 StGB erfüllt, wer eine Person zur Duldung einer beischlafsähnlichen oder einer anderen sexuellen Handlung nötigt, namentlich indem er sie bedroht, Gewalt anwendet, sie unter psychischen Druck setzt oder zum Widerstand unfähig macht. Die sexuellen Nötigungstatbestände von aArt. 189 StGB und aArt. 190 StGB setzen übereinstimmend voraus, dass der Täter das Opfer durch eine Nötigungshandlung dazu bringt, eine sexuelle Handlung zu erdulden oder vorzunehmen (zum Ganzen: BGE 148 IV 234 E. 3.3; 131 IV 167 E. 3; Urteile 6B_900/2024 vom 20. März 2025 E. 4.2.2; 6B_1061/2023 vom 23. Januar 2025 E. 1.3.3).</w:t>
      </w:r>
    </w:p>
    <w:p>
      <w:r>
        <w:rPr>
          <w:b/>
        </w:rPr>
        <w:t>E. 2.2.2</w:t>
      </w:r>
    </w:p>
    <w:p>
      <w:r>
        <w:t>Die Tatbestandsvariante des Unter-Druck-Setzens stellt klar, dass sich die Ausweglosigkeit der Situation auch ergeben kann, ohne dass der Täter eigentliche Gewalt anwendet. Es kann vielmehr genügen, dass dem Opfer ein Widersetzen unter den gegebenen Umständen aus anderen Gründen nicht zuzumuten ist. Durch aArt. 189 f. StGB geschützt werden soll auch das Opfer, das durch Überraschungseffekt, Erschrecken, Verblüffung oder aufgrund einer ausweglosen Lage keinen Widerstand leistet ( BGE 148 IV 234 E. 3.3; 128 IV 106 E. 3a/bb).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Urteile 6B_1050/2023 vom 21. Dezember 2023 E. 3.3.4; 6B_117/2023 vom 1. Mai 2023 E. 1.1.4; 6B_1193/2021 vom 7. März 2023 E. 2.3.2).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der Art. 189 f. aStGB hat sich insoweit insbesondere an der Frage der zumutbaren Selbstschutzmöglichkeiten des Opfers zu orientieren ( BGE 128 IV 106 E. 3b mit Hinweisen; Urteile 6B_1050/2023 vom 21. Dezember 2023 E. 3.3.4; 6B_117/2023 vom 1. Mai 2023 E. 1.1.4; 6B_1193/2021 vom 7. März 2023 E. 2.3.2; je mit Hinweisen).</w:t>
      </w:r>
    </w:p>
    <w:p>
      <w:r>
        <w:t>Bei der Beurteilung, ob eine sexuelle Nötigung oder eine Vergewaltigung vorliegt, ist eine Gesamtwürdigung der konkreten Umstände vorzunehmen ( BGE 148 IV 234 E. 3.3; 131 IV 107 E. 2.2). Die Rechtsprechung hat namentlich den verbalen Widerstand des Opfers unter Berücksichtigung der Gesamtumstände als genügenden Widerstand qualifiziert (zum Ganzen: Urteil 6B_1050/2023 vom 21. Dezember 2023 E. 3.3 mit Hinweisen).</w:t>
      </w:r>
    </w:p>
    <w:p>
      <w:r>
        <w:rPr>
          <w:b/>
        </w:rPr>
        <w:t>E. 2.2.3</w:t>
      </w:r>
    </w:p>
    <w:p>
      <w:r>
        <w:t>Die Tatbestände der Vergewaltigung und der sexuellen Nötigung erfordern Vorsatz, wobei Eventualvorsatz genügt. Wer es für möglich hält, dass das Opfer mit den sexuellen Handlungen nicht einverstanden ist, und dies in Kauf nimmt, begeht eventualvorsätzlich eine Vergewaltigung oder sexuelle Nötigung ( BGE 148 IV 234 E. 3.4; 87 IV 66 E. 3; Urteile 6B_1050/2023 vom 21. Dezember 2023 E. 3.3.6; 6B_643/2021 vom 21. September 2021 E. 3.3.5; 6B_995/2020 vom 5. Mai 2021 E. 2; je mit Hinweisen).</w:t>
      </w:r>
    </w:p>
    <w:p>
      <w:r>
        <w:t>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 in Kauf genommen ( BGE 135 IV 12 E. 2.3.2; 133 IV 9 E. 4.1, 222 E. 5.3; Urteil 6B_774/2020 vom 28. Juli 2021 E. 2.3).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133 IV 1 E. 4.1 und 4.5, 9 E. 4.1; 131 IV 1 E. 2.2; Urteile 6B_643/2021 vom 21. September 2021 E. 3.3.5; 6B_1246/2019 vom 8. September 2020 E. 2.3.5). Im Fall von sexueller Nötigung ist das subjektive Element gegeben, wenn das Opfer eindeutige und für den Täter erkennbare Zeichen seines Widerstands zeigt, worunter neben körperlichen Widerstandshandlungen etwa auch weinen, bitten, in Ruhe gelassen zu werden, zurückweisen von Besänftigungsversuchen oder Fluchtversuche fallen ( BGE 148 IV 234 E. 3.4; Urteil 6B_392/2024 vom 18. Juli 2024 E. 4.3.3).</w:t>
      </w:r>
    </w:p>
    <w:p>
      <w:r>
        <w:rPr>
          <w:b/>
        </w:rPr>
        <w:t>E. 2.2.4</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 BGE 133 IV 1 E. 4.1; 130 IV 58 E. 8.5; Urteile 6B_643/2021 vom 21. September 2021 E. 3.3.6; 6B_992/2020 vom 30. November 2020 E. 2.2).</w:t>
      </w:r>
    </w:p>
    <w:p>
      <w:r>
        <w:rPr>
          <w:b/>
        </w:rPr>
        <w:t>E. 2.3</w:t>
      </w:r>
    </w:p>
    <w:p>
      <w:r>
        <w:t>Die vorinstanzliche Rechtsauffassung ist nicht zu beanstanden. Sie erwägt, der Beschwerdeführer habe gewusst, dass die Beschwerdegegnerin 2 im Tatzeitpunkt psychisch angeschlagen gewesen sei. Dies habe er ausgenutzt. Ihm sei bekannt gewesen, dass sie sich kürzlich von ihrem Freund getrennt habe und daher "ein in Liebesbeziehungen verletzlicher Mensch" gewesen sei. Indem er die Beschwerdegegnerin 2 nach ihrer Trennung unterstützt und aufgemuntert habe, habe er sich deren Vertrauen erschlichen. Ihm sei bewusst gewesen, dass die Beschwerdegegnerin 2 als junge Erwachsene alleine und von ihrer Ursprungsfamilie, die für sie einen hohen Stellenwert gehabt habe, getrennt und entfernt gelebt habe. Auch habe sie erst kurz zuvor die neue Lehrstelle im Hotel angetreten, in dem auch der Beschwerdeführer tätig gewesen sei, und sei somit am Anfang ihrer beruflichen Laufbahn gestanden, was der Beschwerdeführer ebenfalls gewusst habe. Die Würdigung seines Verhaltens habe vor diesem Hintergrund zu erfolgen.</w:t>
      </w:r>
    </w:p>
    <w:p>
      <w:r>
        <w:t>Als der Beschwerdeführer am 22. September 2020 zum ersten Mal "unbegleitet" im Studio der Beschwerdegegnerin 2 gewesen und ihr plötzlich näher gekommen sei, habe er den Überraschungseffekt und eine gewisse Naivität ihrerseits ausgenutzt. Sie habe nicht mit sexuellen Handlungen gerechnet und habe sich ihm unvermittelt ausgeliefert gesehen. Der Beschwerdeführer habe insofern psychischen Druck ausgeübt, als er sich über die wiederholte verbal und körperlich ausgedrückte Ablehnung der Beschwerdegegnerin 2 hinweggesetzt habe. Sie habe ihm insbesondere "Nein" gesagt oder versucht, ihn wegzustossen. Beides habe der Beschwerdeführer ignoriert. In dieser Situation habe die Beschwerdegegnerin 2 nicht gewusst, wie sie sich über ihre verbalen und körperlichen Abwehrhandlungen hinaus gegen die sexuellen Übergriffe, in die sich der Beschwerdeführer "regelrecht hineingesteigert" habe, hätte zur Wehr setzen sollen.</w:t>
      </w:r>
    </w:p>
    <w:p>
      <w:r>
        <w:t>Hinzu komme, dass der Beschwerdeführer ihr mit der Drohung, sie namentlich bei ihrer Familie und ihrem Chef zu kompromittieren, ein Übel in Aussicht gestellt bzw. eine Zwangslage geschaffen habe, die objektiv geeignet gewesen sei, die Beschwerdegegnerin 2 in einen Angstzustand zu versetzen, der ihr eine weitergehende körperliche Gegenwehr verunmöglicht habe. Die Beschwerdegegnerin 2 habe denn auch Angst vor dem Beschwerdeführer gehabt, weil er aggressiv mit ihr gesprochen bzw. ihr gedroht habe. Der Beschwerdeführer habe eine psychische Drucksituation aufgebaut, mit der er den ursprünglichen Widerstand der Beschwerdegegnerin 2 zu brechen vermocht habe. Diese Situation sei - insbesondere auch angesichts ihres jungen Alters und sexuellen Unerfahrenheit sowie des Altersunterschieds - durch die soziale und körperliche Dominanz des Beschwerdeführers noch verstärkt worden.</w:t>
      </w:r>
    </w:p>
    <w:p>
      <w:r>
        <w:t>Dass die Vorinstanz angesichts der festgestellten Umstände davon ausgeht, die Situation im Tatzeitpunkt sei in ihrer Gesamtheit geeignet gewesen, eine psychische Zwangssituation zu schaffen, aufgrund derer für die Beschwerdegegnerin 2 vorübergehend keine zumutbaren Selbstschutzmöglichkeiten mehr bestanden hätten, ist nicht zu beanstanden. Gegen die übrigen Tatbestandsvoraussetzungen wendet der Beschwerdeführer nichts ein. Seine Verurteilung wegen Vergewaltigung und sexueller Nötigung im Hinblick auf die Tat vom 22. September 2020 verstösst nicht gegen Bundesrecht.</w:t>
      </w:r>
    </w:p>
    <w:p>
      <w:r>
        <w:rPr>
          <w:b/>
        </w:rPr>
        <w:t>E. 2.4</w:t>
      </w:r>
    </w:p>
    <w:p>
      <w:r>
        <w:t>Betreffend die weiteren Schuldsprüche bringt der Beschwerdeführer nichts vor, was über das bereits Gesagte hinausginge, weshalb sich Weiterungen hierzu erübrigen.</w:t>
      </w:r>
    </w:p>
    <w:p>
      <w:r>
        <w:rPr>
          <w:b/>
        </w:rPr>
        <w:t>E. 3</w:t>
      </w:r>
    </w:p>
    <w:p>
      <w:r>
        <w:t>Zur Landesverweisung macht der Beschwerdeführer schliesslich einzig geltend, er sei portugiesischer Staatsangehöriger, weshalb er sich auf das FZA (SR 0.142.112.681) berufen könne. Die Vorinstanz habe die Landesverweisung zu Unrecht nach Art. 66a StGB geprüft und einen Härtefall verneint. Weil er Bürger der Europäischen Union sei, beurteile sich seine Landesverweisung ausschliesslich nach dem FZA.</w:t>
      </w:r>
    </w:p>
    <w:p>
      <w:r>
        <w:t>Damit dringt der Beschwerdeführer nicht durch. Er bringt nicht vor und es ist auch nicht ersichtlich, dass er sich bereits vor Vorinstanz auf das FZA berufen hätte. Ebenso wenig rügt er eine Verletzung seines Anspruchs auf rechtliches Gehör ( Art. 106 Abs. 2 BGG ). Der Beschwerdeführer macht lediglich abstrakte Ausführungen zum Verhältnis von Art. 66a StGB zu Art. 5 Anhang 1 FZA , ohne darzulegen, inwiefern das FZA vorliegend einer Landesverweisung entgegenstünde. Darauf ist nicht weiter einzugehen.</w:t>
      </w:r>
    </w:p>
    <w:p>
      <w:r>
        <w:rPr>
          <w:b/>
        </w:rPr>
        <w:t>E. 4</w:t>
      </w:r>
    </w:p>
    <w:p>
      <w:r>
        <w:t>Die weiteren Begehren des Beschwerdeführers basieren auf den beantragten Freisprüchen, die nicht erfolgen, weshalb sich Weiterungen erübrigen.</w:t>
      </w:r>
    </w:p>
    <w:p>
      <w:r>
        <w:rPr>
          <w:b/>
        </w:rPr>
        <w:t>E. 5</w:t>
      </w:r>
    </w:p>
    <w:p>
      <w:r>
        <w:t>Bei diesem Ausgang des Verfahrens hat der Beschwerdeführer die Gerichtskosten zu tragen ( Art. 66 Abs. 1 BGG ). Sein Gesuch um unentgeltliche Rechtspflege und Rechtsverbeiständung ist wegen Aussichtslosigkeit abzuweisen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