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323/2017 vom 26. Februar 2018</w:t>
      </w:r>
    </w:p>
    <w:p>
      <w:r>
        <w:t>Bundesgericht, 2018-02-26, FR</w:t>
      </w:r>
    </w:p>
    <w:p>
      <w:r>
        <w:rPr>
          <w:b/>
        </w:rPr>
        <w:t xml:space="preserve">Quelle: </w:t>
      </w:r>
      <w:r>
        <w:t>https://mcp.opencaselaw.ch/entscheid/bger_6B_323_2017</w:t>
      </w:r>
    </w:p>
    <w:p>
      <w:r>
        <w:t>FR: TF 6B 323/2017 du 26 février 2018</w:t>
      </w:r>
    </w:p>
    <w:p>
      <w:r>
        <w:t>IT: TF 6B 323/2017 del 26 febbraio 2018</w:t>
      </w:r>
    </w:p>
    <w:p>
      <w:pPr>
        <w:pStyle w:val="Heading2"/>
      </w:pPr>
      <w:r>
        <w:t>Regeste</w:t>
      </w:r>
    </w:p>
    <w:p>
      <w:r>
        <w:t>Procédure pénale, récusation; droit d'être entendu | Procédure pénale</w:t>
      </w:r>
    </w:p>
    <w:p>
      <w:pPr>
        <w:pStyle w:val="Heading2"/>
      </w:pPr>
      <w:r>
        <w:t>Erwägungen</w:t>
      </w:r>
    </w:p>
    <w:p>
      <w:r>
        <w:rPr>
          <w:b/>
        </w:rPr>
        <w:t>E. 1</w:t>
      </w:r>
    </w:p>
    <w:p>
      <w:r>
        <w:t>Le recours relève de la compétence de la Cour de droit pénal en tant qu'il porte sur la recevabilité de l'opposition formée par le recourant ( art. 33 let. b RTF ). Il en va de même des récusations litigieuses, la décision attaquée n'étant pas à cet égard une décision incidente au sens des art. 29 al. 2 RTF et 33 let. b in fine RTF.</w:t>
      </w:r>
    </w:p>
    <w:p>
      <w:r>
        <w:rPr>
          <w:b/>
        </w:rPr>
        <w:t>E. 2</w:t>
      </w:r>
    </w:p>
    <w:p>
      <w:r>
        <w:t>Le recourant invoque une violation de son droit d'être entendu, au motif que les déterminations adressées par le ministère public à l'autorité précédente le 5 janvier 2017 ne lui ont pas été transmises avant que l'arrêt attaqué ne soit rendu.</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 ATF 138 I 484 consid. 2.1 p. 485 s.). Le droit de répliquer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p. 53 s. et les références citées). En matière de récusation, le droit de répliquer du requérant porte également sur toutes les prises de position de la personne dont la récusation a été demandée (arrêts 1B_320/2017 du 18 octobre 2017 consid. 2; 1B_272/2016 du 26 septembre 2016 consid. 2.2.1). Le droit d'être entendu est une garantie constitutionnelle de caractère formel, dont la violation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arrêts cités).</w:t>
      </w:r>
    </w:p>
    <w:p>
      <w:r>
        <w:rPr>
          <w:b/>
        </w:rPr>
        <w:t>E. 2.2</w:t>
      </w:r>
    </w:p>
    <w:p>
      <w:r>
        <w:t>En l'espèce, l'autorité précédente a transmis la requête de récusation au procureur visé par celle-ci le 3 janvier 2017 en l'invitant à se déterminer dans un délai au 16 janvier 2017, ce qu'il a fait en date du 5 janvier 2017. Ses déterminations sont reprises dans l'arrêt attaqué, p. 4. Il ne ressort cependant pas du dossier cantonal qu'elles auraient été communiquées au recourant avant que l'arrêt attaqué ne soit rendu, de sorte à ce qu'il puisse en prendre connaissance et se déterminer cas échéant sur celles-ci. Au vu de la jurisprudence qui précède, force est de constater que le droit d'être entendu du recourant a été violé. La procédure devant le Tribunal fédéral ne permet pas de considérer que ce vice pourrait être guéri devant lui. La violation du droit d'être entendu constatée entraîne donc l'annulation de la décision entreprise, indépendamment des chances de succès du recours sur le fond. Ce qui précède rend sans objet les autres griefs soulevés par le recourant.</w:t>
      </w:r>
    </w:p>
    <w:p>
      <w:r>
        <w:rPr>
          <w:b/>
        </w:rPr>
        <w:t>E. 3</w:t>
      </w:r>
    </w:p>
    <w:p>
      <w:r>
        <w:t>Le recours doit être admis, l'arrêt entrepris annulé et la cause renvoyée à l'autorité précédente pour nouvelle décision. Le recourant qui obtient gain de cause ne supporte pas de frais judiciaires ( art. 66 al. 1 LTF ) et peut prétendre à une indemnité de dépens à la charge du canton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