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323/2011 vom 17. August 2011</w:t>
      </w:r>
    </w:p>
    <w:p>
      <w:r>
        <w:t>Bundesgericht, 2011-08-17, DE</w:t>
      </w:r>
    </w:p>
    <w:p>
      <w:r>
        <w:rPr>
          <w:b/>
        </w:rPr>
        <w:t xml:space="preserve">Quelle: </w:t>
      </w:r>
      <w:r>
        <w:t>https://mcp.opencaselaw.ch/entscheid/bger_6B_323_2011</w:t>
      </w:r>
    </w:p>
    <w:p>
      <w:r>
        <w:t>FR: TF 6B 323/2011 du 17 août 2011</w:t>
      </w:r>
    </w:p>
    <w:p>
      <w:r>
        <w:t>IT: TF 6B 323/2011 del 17 agosto 2011</w:t>
      </w:r>
    </w:p>
    <w:p>
      <w:pPr>
        <w:pStyle w:val="Heading2"/>
      </w:pPr>
      <w:r>
        <w:t>Regeste</w:t>
      </w:r>
    </w:p>
    <w:p>
      <w:r>
        <w:t>Nichteinsenden der ARV-Kontrollmittel | Straftaten</w:t>
      </w:r>
    </w:p>
    <w:p>
      <w:pPr>
        <w:pStyle w:val="Heading2"/>
      </w:pPr>
      <w:r>
        <w:t>Erwägungen</w:t>
      </w:r>
    </w:p>
    <w:p>
      <w:r>
        <w:rPr>
          <w:b/>
        </w:rPr>
        <w:t>E. 1</w:t>
      </w:r>
    </w:p>
    <w:p>
      <w:r>
        <w:t>Der Beschwerdeführer verweist zur Begründung seiner Beschwerde auf das Urteil des Bundesgerichts 6B_768/2010 vom 14. April 2011, E. 2.8 (Beschwerde, S. 2). Da das Urteil erst nach dem vorinstanzlichen Entscheid erging, konnte der Beschwerdeführer mit dessen Argumentation das erstinstanzliche Urteil im vorinstanzlichen Verfahren nicht anfechten. Er verlangte indes auch dort bereits einen Freispruch von Schuld und Strafe, weshalb entgegen der Auffassung der Beschwerdegegnerin (act. 12) kein unzulässiges neues Begehren im Sinne von Art. 99 Abs. 2 BGG vorliegt.</w:t>
      </w:r>
    </w:p>
    <w:p>
      <w:r>
        <w:rPr>
          <w:b/>
        </w:rPr>
        <w:t>E. 2</w:t>
      </w:r>
    </w:p>
    <w:p>
      <w:r>
        <w:t>Nach Art. 42 Abs. 2 BGG ist in der Begründung in gedrängter Form darzulegen, inwiefern der angefochtene Akt Recht verletzt. Obwohl er die von ihm beanstandete Rechtsverletzung nicht weiter ausführt, wird aus E. 2.8 des bundesgerichtlichen Entscheids entgegen der Auffassung der Beschwerdegegnerin (act. 12) hinreichend klar, inwiefern die Vorinstanz Bundesrecht verletzt haben soll. Das Bundesgericht begründete dort im Rahmen einer systematischen Auslegung von Art. 49 lit. a SKV , weshalb die im Zuge der Aufhebung von aArt. 28 Abs. 2 lit. d ARV 2 neu geschaffene Strafbestimmung nicht Grundlage für Sanktionen gegen Fahrzeugführer bilden kann, die - wie der Beschwerdeführer als Taxifahrer - der ARV 2 unterstehen. Darauf ist nicht zurückzukommen.</w:t>
      </w:r>
    </w:p>
    <w:p>
      <w:r>
        <w:rPr>
          <w:b/>
        </w:rPr>
        <w:t>E. 3</w:t>
      </w:r>
    </w:p>
    <w:p>
      <w:r>
        <w:t>Die Beschwerde ist gutzuheissen. Der Entscheid des Obergerichts des Kantons Luzern vom 14. März 2011 ist aufzuheben und die Sache zur Neubeurteilung an die Vorinstanz zurückzuweisen. Bei diesem Ausgang des Verfahrens sind keine Gerichtskosten zu erheben (Art. 66 Abs. 1 i.V.m. Abs. 4 BGG). Der Beschwerdeführer war nicht anwaltlich vertreten. Besondere Verhältnisse oder Auslagen weist er nicht nach. Eine Entschädigung rechtfertigt sich daher nicht ( Art. 68 Abs. 1 und 2 BGG ; BGE 113 Ib 353 E.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