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6B_322/2023 vom 9. März 2023</w:t>
      </w:r>
    </w:p>
    <w:p>
      <w:r>
        <w:t>Bundesgericht, 2023-03-09, DE</w:t>
      </w:r>
    </w:p>
    <w:p>
      <w:r>
        <w:rPr>
          <w:b/>
        </w:rPr>
        <w:t xml:space="preserve">Quelle: </w:t>
      </w:r>
      <w:r>
        <w:t>https://mcp.opencaselaw.ch/entscheid/bger_6B_322_2023</w:t>
      </w:r>
    </w:p>
    <w:p>
      <w:r>
        <w:t>FR: TF 6B_322/2023 du 9 mars 2023</w:t>
      </w:r>
    </w:p>
    <w:p>
      <w:r>
        <w:t>IT: TF 6B_322/2023 del 9 marzo 2023</w:t>
      </w:r>
    </w:p>
    <w:p>
      <w:pPr>
        <w:pStyle w:val="Heading2"/>
      </w:pPr>
      <w:r>
        <w:t>Erwägungen</w:t>
      </w:r>
    </w:p>
    <w:p>
      <w:r>
        <w:rPr>
          <w:b/>
        </w:rPr>
        <w:t>E. 1</w:t>
      </w:r>
    </w:p>
    <w:p>
      <w:r>
        <w:t>Der Beschwerdeführer erhob am 6. März 2023 Beschwerde gegen den Entscheid des Obergerichts des Kantons Zürich vom 5. Januar 2023. Auf die Ansetzung einer Frist zur ordnungsgemässen Unterzeichnung der Beschwerdeeingabe im Sinne von Art. 42 Abs. 5 BGG kann verzichtet werden, weil die Beschwerde gleichentags mit Schreiben vom 6. März 2023 rechtsgültig vorbehaltlos wieder zurückgezogen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