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6B_322/2014 vom 26. Juni 2014</w:t>
      </w:r>
    </w:p>
    <w:p>
      <w:r>
        <w:t>Bundesgericht, 2014-06-26, FR</w:t>
      </w:r>
    </w:p>
    <w:p>
      <w:r>
        <w:rPr>
          <w:b/>
        </w:rPr>
        <w:t xml:space="preserve">Quelle: </w:t>
      </w:r>
      <w:r>
        <w:t>https://mcp.opencaselaw.ch/entscheid/bger_6B_322_2014</w:t>
      </w:r>
    </w:p>
    <w:p>
      <w:r>
        <w:t>FR: TF 6B_322/2014 du 26 juin 2014</w:t>
      </w:r>
    </w:p>
    <w:p>
      <w:r>
        <w:t>IT: TF 6B_322/2014 del 26 giugno 2014</w:t>
      </w:r>
    </w:p>
    <w:p>
      <w:pPr>
        <w:pStyle w:val="Heading2"/>
      </w:pPr>
      <w:r>
        <w:t>Erwägungen</w:t>
      </w:r>
    </w:p>
    <w:p>
      <w:r>
        <w:rPr>
          <w:b/>
        </w:rPr>
        <w:t>E. 1</w:t>
      </w:r>
    </w:p>
    <w:p>
      <w:r>
        <w:t>Le recourant ne conteste pas avoir commis une violation des règles de la circulation ( art. 90 ch. 1 LCR ) en effectuant un dépassement par la droite, il invoque toutefois l'état de nécessité excusable au sens de l' art. 18 al. 1 CP . Il prétend que Y.________ aurait adopté un comportement dangereux rendant nécessaire ce dépassement afin d'éviter un accident.</w:t>
      </w:r>
    </w:p>
    <w:p>
      <w:r>
        <w:rPr>
          <w:b/>
        </w:rPr>
        <w:t>E. 1.1</w:t>
      </w:r>
    </w:p>
    <w:p>
      <w:r>
        <w:t>A teneur de l' art. 18 al. 1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w:t>
      </w:r>
    </w:p>
    <w:p>
      <w:r>
        <w:t>Le danger est imminent lorsqu'il est actuel et concret ( ATF 122 IV 1 consid. 3a p. 5; arrêt 6B_176/2010 du 31 mai 2010 consid. 2.1). L'impossibilité que le danger puisse être détourné autrement implique une subsidiarité absolue. La question de savoir si cette condition est réalisée doit être examinée en fonction des circonstances concrètes du cas (cf. ATF 122 IV 1 consid. 4 p. 7; arrêt 6B_176/2010 du 31 mai 2010 consid. 2.1).</w:t>
      </w:r>
    </w:p>
    <w:p>
      <w:r>
        <w:rPr>
          <w:b/>
        </w:rPr>
        <w:t>E. 1.2</w:t>
      </w:r>
    </w:p>
    <w:p>
      <w:r>
        <w:t>La cour cantonale a, d'une part, considéré que les constatations de fait n'indiquaient pas que Y.________ aurait adopté un comportement dangereux, tel que le prétendait le prévenu, lequel s'écartait d'ailleurs des faits retenus en première instance, sans démontrer qu'ils auraient été établis de manière manifestement inexacte. D'autre part, elle a estimé que le prévenu procédait à une appréciation personnelle en affirmant qu'il n'avait pas eu d'autre choix que de dépasser par la droite pour éviter un accident. Elle a nié l'imminence d'un quelconque danger et a exclu le fait que le ralentissement d'un véhicule puisse être à ce point dangereux qu'il se justifie impérativement de s'en éloigner sans délai, en particulier en effectuant un dépassement par la droite. Elle en a déduit qu'il n'y avait pas lieu de retenir un état de nécessité excusable en faveur du prévenu.</w:t>
      </w:r>
    </w:p>
    <w:p>
      <w:r>
        <w:rPr>
          <w:b/>
        </w:rPr>
        <w:t>E. 1.3</w:t>
      </w:r>
    </w:p>
    <w:p>
      <w:r>
        <w:t>Le recourant ne saurait se prévaloir de la libération du chef d'accusation de violation des règles de la circulation, sur la seule base de l' art. 18 al. 1 CP , lequel prévoit une atténuation de la peine, non une libération des fins de la poursuite (cf. art. 18 al. 2 CP ).</w:t>
      </w:r>
    </w:p>
    <w:p>
      <w:r>
        <w:t>En tout état, en tant que le recourant affirme, par différents moyens, que le comportement de Y.________ était dangereux, il ne tente pas de démontrer une violation de l' art. 18 CP , mais il s'en prend en réalité à des constatations de fait, soit l'existence ou non d'un danger.</w:t>
      </w:r>
    </w:p>
    <w:p>
      <w:r>
        <w:rPr>
          <w:b/>
        </w:rPr>
        <w:t>E. 1.4</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w:t>
      </w:r>
    </w:p>
    <w:p>
      <w:r>
        <w:t>Lorsque le recours au Tribunal fédéral est dirigé contre une décision d'une autorité cantonale de dernière instance dont le pouvoir d'examen est, comme en l'espèce, limité à l'arbitraire en matière de constatation des faits (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(cf. ATF 125 I 492 consid. 1a/cc et 1b p. 494 s. et les arrêts cités).</w:t>
      </w:r>
    </w:p>
    <w:p>
      <w:r>
        <w:rPr>
          <w:b/>
        </w:rPr>
        <w:t>E. 1.5</w:t>
      </w:r>
    </w:p>
    <w:p>
      <w:r>
        <w:t>En tant que le recourant se borne à exposer sa propre version des faits, sans expliquer pour quelle raison ils auraient été établis de manière arbitraire, ses développements sont largement appellatoires, partant irrecevables ( art. 106 al. 2 LTF ). Il ne saurait en particulier fonder son argumentation sur des passages figurant dans la décision de première instance en prétendant qu'il s'agit de faits retenus par cette autorité, alors même qu'il se réfère à ses propres déclarations en audience (cf. jugement de première instance, consid. 3 p. 2</w:t>
      </w:r>
    </w:p>
    <w:p>
      <w:r>
        <w:t>"lors de l'audience du 22 mars 2013, le prévenu a fait les déclarations suivantes" ). Le recourant semble ainsi confondre l'établissement des faits par une autorité et la version des faits apportée par une partie lors de son audition. A cet égard, le recourant affirme faussement que le comportement de Y.________</w:t>
      </w:r>
    </w:p>
    <w:p>
      <w:r>
        <w:t>"a toujours été décrit comme un comportement dangereux", puisque cela ne ressort ni de la décision de première instance ni de la décision attaquée.</w:t>
      </w:r>
    </w:p>
    <w:p>
      <w:r>
        <w:t>Les suppositions liées à l'intention de Y.________ de provoquer un accrochage ne trouvent aucune assise dans les décisions litigieuses, ni même dans le dossier. Largement appellatoires, elles sont irrecevables ( art. 106 al. 2 LTF ).</w:t>
      </w:r>
    </w:p>
    <w:p>
      <w:r>
        <w:t>Le recourant suggère enfin que l'absence de trace d'accrochage sur son véhicule aurait été omise de manière arbitraire par l'autorité cantonale. Or cet élément de fait figure expressément dans la décision entreprise, à teneur de laquelle</w:t>
      </w:r>
    </w:p>
    <w:p>
      <w:r>
        <w:t>"aucun dommage n'a pu être constaté" sur son véhicule (jugement entrepris, consid. A p. 2). En définitive, ainsi qu'ils sont articulés, les reproches portant sur l'état de fait sont appellatoires, non pertinents ou insuffisamment motivés et sont par là même irrecevables.</w:t>
      </w:r>
    </w:p>
    <w:p>
      <w:r>
        <w:rPr>
          <w:b/>
        </w:rPr>
        <w:t>E. 1.6</w:t>
      </w:r>
    </w:p>
    <w:p>
      <w:r>
        <w:t>En conclusion, sur la base de l'état de fait cantonal et à défaut de tout élément permettant d'établir, d'une part, l'existence d'un danger imminent, et d'autre part, l'impossibilité de le détourner autrement, l'état de nécessité excusable au sens de l' art. 18 CP n'est pas applicable aux faits reprochés qui constituent en l'espèce, une violation des règles de la circulation routière ( art. 35 al. 1, 90 ch. 1 LCR et 8 al. 3 OCR).</w:t>
      </w:r>
    </w:p>
    <w:p>
      <w:r>
        <w:rPr>
          <w:b/>
        </w:rPr>
        <w:t>E. 2</w:t>
      </w:r>
    </w:p>
    <w:p>
      <w:r>
        <w:t>Au vu de ce qui précède, 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