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6B_322/2010 vom 22. Juni 2010</w:t>
      </w:r>
    </w:p>
    <w:p>
      <w:r>
        <w:t>Bundesgericht, 2010-06-22, DE</w:t>
      </w:r>
    </w:p>
    <w:p>
      <w:r>
        <w:rPr>
          <w:b/>
        </w:rPr>
        <w:t xml:space="preserve">Quelle: </w:t>
      </w:r>
      <w:r>
        <w:t>https://mcp.opencaselaw.ch/entscheid/bger_6B_322_2010</w:t>
      </w:r>
    </w:p>
    <w:p>
      <w:r>
        <w:t>FR: TF 6B_322/2010 du 22 juin 2010</w:t>
      </w:r>
    </w:p>
    <w:p>
      <w:r>
        <w:t>IT: TF 6B_322/2010 del 22 giugno 2010</w:t>
      </w:r>
    </w:p>
    <w:p>
      <w:pPr>
        <w:pStyle w:val="Heading2"/>
      </w:pPr>
      <w:r>
        <w:t>Erwägungen</w:t>
      </w:r>
    </w:p>
    <w:p>
      <w:r>
        <w:rPr>
          <w:b/>
        </w:rPr>
        <w:t>E. 1</w:t>
      </w:r>
    </w:p>
    <w:p>
      <w:r>
        <w:t>Die Vorinstanz hält folgenden Sachverhalt für erwiesen:</w:t>
      </w:r>
    </w:p>
    <w:p>
      <w:r>
        <w:t>Der Beschwerdeführer fuhr am Abend des 18. März 2008 in Begleitung seiner Freundin, F.________, und eines Kollegen, K.________, hinter dem konstant mit einer Geschwindigkeit von ca. 50-60 km/h fahrenden A.________ her, welcher einen Pferdetransportanhänger samt Pferd mit sich führte. Nachdem er diesen überholt hatte, bremste er ohne verkehrsbedingte Notwendigkeit zweimal brüsk, wodurch es zur Kollision zwischen seinem und dem mit einem Abstand von ca. 15 Metern hinter ihm fahrenden Fahrzeug von A.________ kam.</w:t>
      </w:r>
    </w:p>
    <w:p>
      <w:r>
        <w:rPr>
          <w:b/>
        </w:rPr>
        <w:t>E. 2.1</w:t>
      </w:r>
    </w:p>
    <w:p>
      <w:r>
        <w:t>Der Beschwerdeführer rügt Willkür bei der Sachverhaltsfeststellung und eine Verletzung des Grundsatzes in dubio pro reo. Er macht geltend, er habe lediglich einmal kurz die Bremse angetippt, um A.________, welcher sehr nahe hinter ihm aufgeschlossen hätte, dazu zu bewegen, entweder Abstand zu nehmen oder ihn zu überholen. Anschliessend habe er seine Geschwindigkeit durch Ausrollen vermindert, wobei A.________ in der Folge zweimal auf sein Fahrzeug aufgefahren sei.</w:t>
      </w:r>
    </w:p>
    <w:p>
      <w:r>
        <w:rPr>
          <w:b/>
        </w:rPr>
        <w:t>E. 2.2</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in seiner vom Beschwerdeführer angerufenen Funktion als Beweiswürdigungsregel keine über das Willkürverbot von Art. 9 BV hinausgehende selbständige Bedeutung zu ( BGE 127 I 38 E. 2a; 124 IV 86 E. 2a; je mit Hinweisen).</w:t>
      </w:r>
    </w:p>
    <w:p>
      <w:r>
        <w:rPr>
          <w:b/>
        </w:rPr>
        <w:t>E. 2.3</w:t>
      </w:r>
    </w:p>
    <w:p>
      <w:r>
        <w:t>Die Vorinstanz begründet eingehend, weshalb sie zum Schluss kommt, der Beschwerdeführer habe zwei Schikanestopps eingelegt, und es habe sich dabei nicht um ein leichtes Antippen der Bremse gehandelt. Dabei setzt sie sich mit den Aussagen der Beteiligten sowie der Zeugen F.________ und K.________ auseinander und nimmt auf die an den Fahrzeugen festgestellten Schäden Bezug. In diesem Zusammenhang zeigt sie auch auf, dass der von K.________ verspürte zweimalige Ruck, wobei er sich beim zweiten Mal den Kopf am Armaturenbrett angeschlagen habe, nur auf ein heftiges Bremsen, nicht jedoch auf eine Auffahrkollision zurückgeführt werden könne. Sie legt sodann dar, weshalb die Aussagen des Beschwerdeführers widersprüchlich und nicht glaubhaft sind und der gegenteiligen Sachverhaltsschilderung von A.________ Glaube zu schenken ist. Ihre Ausführungen überzeugen. Was der Beschwerdeführer dagegen vorbringt erschöpft sich in einer unzulässigen appellatorischen Kritik. Darauf ist nicht einzutreten.</w:t>
      </w:r>
    </w:p>
    <w:p>
      <w:r>
        <w:rPr>
          <w:b/>
        </w:rPr>
        <w:t>E. 3</w:t>
      </w:r>
    </w:p>
    <w:p>
      <w:r>
        <w:t>Die Anträge auf Neufestsetzung der Strafe und Verzicht auf den Widerruf des am 5. November 2007 bedingt aufgeschobenen Strafteils begründet der Beschwerdeführer einzig mit dem Wegfall des Schuldspruchs wegen grober Verletzung von Verkehrsregeln. Da es bei der Verurteilung bleibt, ist die Beschwerde auch in diesem Punkt unbegründet.</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