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6B_320/2021 vom 25. März 2021</w:t>
      </w:r>
    </w:p>
    <w:p>
      <w:r>
        <w:t>Bundesgericht, 2021-03-25, FR</w:t>
      </w:r>
    </w:p>
    <w:p>
      <w:r>
        <w:rPr>
          <w:b/>
        </w:rPr>
        <w:t xml:space="preserve">Quelle: </w:t>
      </w:r>
      <w:r>
        <w:t>https://mcp.opencaselaw.ch/entscheid/bger_6B_320_2021</w:t>
      </w:r>
    </w:p>
    <w:p>
      <w:r>
        <w:t>FR: TF 6B_320/2021 du 25 mars 2021</w:t>
      </w:r>
    </w:p>
    <w:p>
      <w:r>
        <w:t>IT: TF 6B_320/2021 del 25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3 mars 2021, sous pli recommandé du 15 mars 2021, A.________ recourt en matière pénale au Tribunal fédéral contre une ordonnance du 4 février 2021 par laquelle la Chambre pénale du Tribunal cantonal du Valais a déclaré irrecevable, motif pris de sa tardiveté, le recours interjeté par l'intéressé contre une ordonnance de non-entrée en matière du 11 janvier 2021 émanant de l'Office régional du ministère public du Bas-Valais.</w:t>
      </w:r>
    </w:p>
    <w:p>
      <w:r>
        <w:rPr>
          <w:b/>
        </w:rPr>
        <w:t>E. 2</w:t>
      </w:r>
    </w:p>
    <w:p>
      <w:r>
        <w:t>Les motifs du recours au sens de l' art. 42 al. 1 LTF doivent exposer succinctement en quoi la décision attaquée viole le droit ( art. 42 al. 2 LTF ). Selon la jurisprudence, pour répondre à cette exigence, la partie recourante est tenue de discuter au moins sommairement les considérants de l'arrêt entrepris ( ATF 142 III 364 consid. 2.4 p. 367 s. et les arrêts cités); en particulier, la motivation doit être topique, c'est-à-dire se rapporter à la question juridique tranchée par l'autorité cantonale ( ATF 123 V 335 ; arrêt 6B_970/2017 du 17 octobre 2017 consid. 4).</w:t>
      </w:r>
    </w:p>
    <w:p>
      <w:r>
        <w:rPr>
          <w:b/>
        </w:rPr>
        <w:t>E. 3</w:t>
      </w:r>
    </w:p>
    <w:p>
      <w:r>
        <w:t>En l'espèce, on recherche en vain dans l'écriture de recours toute considération relative à la recevabilité du recours cantonal soit au respect du délai de recours. L'insuffisance de la motivation est manifeste et doit être constatée dans la procédure prévue par l' art. 108 al. 1 let. b LTF .</w:t>
      </w:r>
    </w:p>
    <w:p>
      <w:r>
        <w:rPr>
          <w:b/>
        </w:rPr>
        <w:t>E. 4</w:t>
      </w:r>
    </w:p>
    <w:p>
      <w:r>
        <w:t>Il convient exceptionnellement de statuer sans frais (art. 65 al. 2 et 66 al. 1 LTF).</w:t>
      </w:r>
    </w:p>
    <w:p>
      <w:r>
        <w:t>Par ces motifs, le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