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6B_31/2015 vom 26. Mai 2015</w:t>
      </w:r>
    </w:p>
    <w:p>
      <w:r>
        <w:t>Bundesgericht, 2015-05-26, FR</w:t>
      </w:r>
    </w:p>
    <w:p>
      <w:r>
        <w:rPr>
          <w:b/>
        </w:rPr>
        <w:t xml:space="preserve">Quelle: </w:t>
      </w:r>
      <w:r>
        <w:t>https://mcp.opencaselaw.ch/entscheid/bger_6B_31_2015</w:t>
      </w:r>
    </w:p>
    <w:p>
      <w:r>
        <w:t>FR: TF 6B_31/2015 du 26 mai 2015</w:t>
      </w:r>
    </w:p>
    <w:p>
      <w:r>
        <w:t>IT: TF 6B_31/2015 del 26 maggio 2015</w:t>
      </w:r>
    </w:p>
    <w:p>
      <w:pPr>
        <w:pStyle w:val="Heading2"/>
      </w:pPr>
      <w:r>
        <w:t>Erwägungen</w:t>
      </w:r>
    </w:p>
    <w:p>
      <w:r>
        <w:rPr>
          <w:b/>
        </w:rPr>
        <w:t>E. 1</w:t>
      </w:r>
    </w:p>
    <w:p>
      <w:r>
        <w:t>Le recourant procède à un rappel chronologique d'éléments de la procédure. De la sorte, il ne soulève aucun grief recevable au regard des art. 42 al. 2 et 106 al. 2 LTF.</w:t>
      </w:r>
    </w:p>
    <w:p>
      <w:r>
        <w:rPr>
          <w:b/>
        </w:rPr>
        <w:t>E. 2</w:t>
      </w:r>
    </w:p>
    <w:p>
      <w:r>
        <w:t>Le recourant met en cause l'instauration d'une mesure thérapeutique institutionnelle.</w:t>
      </w:r>
    </w:p>
    <w:p>
      <w:r>
        <w:rPr>
          <w:b/>
        </w:rPr>
        <w:t>E. 2.1</w:t>
      </w:r>
    </w:p>
    <w:p>
      <w:r>
        <w:t>Une mesure doit être ordonnée si une peine seule ne peut pas écarter le danger que l'auteur commette d'autres infractions, si l'auteur a besoin d'un traitement ou que la sécurité publique l'exige et si les conditions prévues aux art. 59 à 61, 63 ou 64 CP sont remplies ( art. 56 al. 1 CP ). Le prononcé d'une mesure suppose que l'atteinte aux droits de la personnalité qui en résulte pour l'auteur ne soit pas disproportionnée au regard de la vraisemblance qu'il commette de nouvelles infractions et de leur gravité (al. 2).</w:t>
      </w:r>
    </w:p>
    <w:p>
      <w:r>
        <w:t>Le prononcé d'une mesure thérapeutique institutionnelle selon l' 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 6B_784/2010 du 2 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et du code pénal militaire ainsi qu'une loi fédérale régissant la condition pénale des mineurs, FF 1999 p. 1812). La référence à la gravité du trouble mental ne correspond pas à une description quantitative du dérangement psychique, mais signifie uniquement que le trouble mental doit être significatif sur le plan psychiatrique comme sur le plan juridique ( MARIANNE HEER, Einige Schwerpunkte des neuen Massnahmenrechts, in RPS 212 (2003), p. 376 ss, spéc. 391; HANS WIPRÄCHTIGER, Grundzüge des neuen Massnahmenrechts 2002, in La revisione della parte generale del codice penale, 2005, p. 43 ss, spéc. 56). Outre l'exigence d'un grave trouble mental, le prononcé d'un traitement institutionnel selon l' 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 ATF 134 IV 315 consid. 3.4.1 p. 321 ; arrêt 6B_784/2010 du 2 décembre 2010, consid. 2.1).</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138 III 193 consid. 4.3.1 p. 198 s. ; 136 II 539 consid. 3.2 p. 547 s.; 133 II 384 consid. 4.2.3 p. 391).</w:t>
      </w:r>
    </w:p>
    <w:p>
      <w:r>
        <w:rPr>
          <w:b/>
        </w:rPr>
        <w:t>E. 2.2</w:t>
      </w:r>
    </w:p>
    <w:p>
      <w:r>
        <w:t>Invoquant une violation des art. 56, 59 et 63 CP , le recourant indique que les experts judiciaires et le Dr A.________ auraient dû être entendus par la cour cantonale. Par décision du 7 novembre 2014, la Présidente de la Cour pénale a refusé un complément d'expertise (cf. dossier p. 577 ss). Lors des débats d'appel du 14 novembre 2014, la cour a refusé les auditions requises et a motivé son refus (cf. dossier p. 585 s.). Le recourant n'articule aucun développement à l'encontre de la décision du 7 novembre 2014 ni ne spécifie ce qui aurait justifié une instruction complémentaire sous la forme d'une audition. Il ne discute nullement des motifs de la cour cantonale. La motivation de son recours est insuffisante au regard des exigences de l'art. 42 al. 2, respectivement 106 al. 2 LTF. Elle est irrecevable.</w:t>
      </w:r>
    </w:p>
    <w:p>
      <w:r>
        <w:rPr>
          <w:b/>
        </w:rPr>
        <w:t>E. 2.3</w:t>
      </w:r>
    </w:p>
    <w:p>
      <w:r>
        <w:t>Pour le surplus, l'argumentation du recourant se limite à une libre discussion dans une démarche purement appellatoire, relevant notamment qu'aucun établissement adéquat n'est disponible ou qu'il n'y aurait pas de personnel qualifié. De la sorte, il ne formule aucun grief recevable. Le recourant est d'avis qu'un traitement ambulatoire doit être privilégié. Là encore, il se contente d'opposer sa vision à la solution cantonale, sans dire véritablement en quoi celle-ci violerait le droit fédéral.</w:t>
      </w:r>
    </w:p>
    <w:p>
      <w:r>
        <w:t>Les experts judiciaires ont évoqué les deux mesures envisageables, d'une part un traitement ambulatoire, d'autre part une mesure thérapeutique institutionnelle. Par rapport au traitement ambulatoire, ils ont relevé que les chances de succès d'un tel suivi étaient plus que relatives et que la consommation d'alcool du recourant était épisodique, de sorte qu'un suivi, même bien conduit, ne pourrait pas garantir que le recourant ne consomme pas d'alcool. Ils ont mentionné qu'au regard du risque de passage à l'acte, un traitement thérapeutique institutionnel en milieu fermé pouvait être envisagé par la justice, tout en admettant la difficulté à prendre en charge ce genre de pathologie et en émettant des doutes quant aux chances de succès d'un traitement ordonné contre la volonté du recourant.</w:t>
      </w:r>
    </w:p>
    <w:p>
      <w:r>
        <w:t>La cour cantonale n'a rien ignoré des avis des experts judiciaires (cf. jugement attaqué p. 23 s. et 29 ss). Elle a relevé que le recourant souffrait d'une psychose paranoïaque et de certains troubles du comportement, majorés par la consommation d'alcool, que les experts avaient qualifié la pathologie de sévère, que les infractions commises, en particulier des infractions contre l'intégrité physique, étaient en relation avec ce trouble mental, et que le risque de récidive pouvait être qualifié de moyen, voire de moyen à élevé. Le recourant consommait épisodiquement de l'alcool, de sorte qu'un traitement ambulatoire ne constituait pas une solution. La cour a observé que le traitement de deux ans qu'avait suivi jusqu'ici le recourant, malgré sa compliance, n'avait pas empêché la récidive. Elle a ainsi considéré que seul un traitement institutionnel en milieu fermé, également envisagé par les experts judiciaires, permettrait de soigner le recourant et de diminuer le risque de récidive. Elle a ajouté que certes les experts avaient émis des doutes sur les perspectives d'un traitement ordonné contre la volonté du recourant, mais n'avaient pas exclu pour autant un succès thérapeutique. Elle a considéré qu'au vu des démarches thérapeutiques accomplies jusqu'ici, le recourant disposait d'une aptitude à être traité permettant à terme sa réinsertion (cf. jugement attaqué, p. 29 ss).</w:t>
      </w:r>
    </w:p>
    <w:p>
      <w:r>
        <w:t>Au vu de l'ensemble des éléments précités, la solution de la cour cantonale ne viole pas le droit fédéral. En tout état, le risque de récidive apparaît uniquement pouvoir être contenu par une mesure thérapeutique institutionnelle, dont il apparaît suffisamment vraisemblable à ce stade qu'elle permette une réduction dudit risque.</w:t>
      </w:r>
    </w:p>
    <w:p>
      <w:r>
        <w:rPr>
          <w:b/>
        </w:rPr>
        <w:t>E. 3</w:t>
      </w:r>
    </w:p>
    <w:p>
      <w:r>
        <w:t>Le recours doit être rejeté dans la mesure où il est recevable. Comme les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