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318/2025 vom 17. April 2025</w:t>
      </w:r>
    </w:p>
    <w:p>
      <w:r>
        <w:t>Bundesgericht, 2025-04-17, FR</w:t>
      </w:r>
    </w:p>
    <w:p>
      <w:r>
        <w:rPr>
          <w:b/>
        </w:rPr>
        <w:t xml:space="preserve">Quelle: </w:t>
      </w:r>
      <w:r>
        <w:t>https://mcp.opencaselaw.ch/entscheid/bger_6B_318_2025</w:t>
      </w:r>
    </w:p>
    <w:p>
      <w:r>
        <w:t>FR: TF 6B 318/2025 du 17 avril 2025</w:t>
      </w:r>
    </w:p>
    <w:p>
      <w:r>
        <w:t>IT: TF 6B 318/2025 del 17 aprile 2025</w:t>
      </w:r>
    </w:p>
    <w:p>
      <w:pPr>
        <w:pStyle w:val="Heading2"/>
      </w:pPr>
      <w:r>
        <w:t>Regeste</w:t>
      </w:r>
    </w:p>
    <w:p>
      <w:r>
        <w:t>Irrecevabilité formelle du recours en matière pénale; motivation insuffisante (révision) | Procédure pénale</w:t>
      </w:r>
    </w:p>
    <w:p>
      <w:pPr>
        <w:pStyle w:val="Heading2"/>
      </w:pPr>
      <w:r>
        <w:t>Erwägungen</w:t>
      </w:r>
    </w:p>
    <w:p>
      <w:r>
        <w:rPr>
          <w:b/>
        </w:rPr>
        <w:t>E. 1</w:t>
      </w:r>
    </w:p>
    <w:p>
      <w:r>
        <w:t>Par arrêt du 4 mars 2025, la Chambre pénale d'appel et de révision de la Cour de justice genevoise a déclaré irrecevable la demande de révision formée par A.________ contre l'arrêt rendu le 19 décembre 2013 par lequel cette autorité avait, en substance, reconnu le prénommé coupable d'assassinat.</w:t>
      </w:r>
    </w:p>
    <w:p>
      <w:r>
        <w:rPr>
          <w:b/>
        </w:rPr>
        <w:t>E. 2</w:t>
      </w:r>
    </w:p>
    <w:p>
      <w:r>
        <w:t>Par courrier daté du 31 mars 2025, A.________ forme un recours en matière pénale au Tribunal fédéral contre l'arrêt du 4 mars 2025. Il conclut, en substance, à l'annulation de l'instruction ainsi que du " jugement " ayant prononcé sa condamnation, et à l'octroi d'une indemnité d'un montant de 300'000 fr. à titre de réparation du tort moral. Enfin, l'on comprend qu'il sollicite le bénéfice de l'assistance judiciaire.</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148 IV 409 consid. 2.2 p. 412 s.; 147 IV 73 consid. 4.1.2 p. 81; 146 IV 114 consid. 2.1 p. 118; 145 IV 154 consid. 1.1 p. 156). En l'espèce, le recourant allègue en substance que des analyses de la scène de crime auraient fait défaut dans son dossier, que l'instruction aurait été " bâclée ", et qu'il y aurait eu des vices de procédure, dénonçant notamment un complot et un abus d'autorité. Dans une argumentation appellatoire, il invoque notamment avoir été drogué au moment des faits litigieux. Ce faisant, le recourant ne développe aucune argumentation topique, ne critique aucunement l'arrêt entrepris et n'expose donc pas en quoi la cour cantonale aurait violé le droit fédéral en déclarant la demande de révision irrecevable au motif qu'aucun fait ou moyen de preuve nouveaux n'avaient été valablement invoqués. Faute de développer une argumentation topique répondant aux exigences de motivation d'un recours en matière pénale (cf. art. 42 al. 2 et 106 al. 2 LTF), le recours est irrecevable.</w:t>
      </w:r>
    </w:p>
    <w:p>
      <w:r>
        <w:rPr>
          <w:b/>
        </w:rPr>
        <w:t>E. 4</w:t>
      </w:r>
    </w:p>
    <w:p>
      <w:r>
        <w:t>L'irrecevabilité du recours est manifeste, ce qu'il convient de constater dans la procédure prévue par l' art. 108 al. 1 let. b LTF . Il peut exceptionnellement être statué sans frais (cf. art. 65 al. 2 et 66 al. 1 LTF),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