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6B_317/2019 vom 21. März 2019</w:t>
      </w:r>
    </w:p>
    <w:p>
      <w:r>
        <w:t>Bundesgericht, 2019-03-21, FR</w:t>
      </w:r>
    </w:p>
    <w:p>
      <w:r>
        <w:rPr>
          <w:b/>
        </w:rPr>
        <w:t xml:space="preserve">Quelle: </w:t>
      </w:r>
      <w:r>
        <w:t>https://mcp.opencaselaw.ch/entscheid/bger_6B_317_2019</w:t>
      </w:r>
    </w:p>
    <w:p>
      <w:r>
        <w:t>FR: TF 6B_317/2019 du 21 mars 2019</w:t>
      </w:r>
    </w:p>
    <w:p>
      <w:r>
        <w:t>IT: TF 6B_317/2019 del 21 marzo 2019</w:t>
      </w:r>
    </w:p>
    <w:p>
      <w:pPr>
        <w:pStyle w:val="Heading2"/>
      </w:pPr>
      <w:r>
        <w:t>Erwägungen</w:t>
      </w:r>
    </w:p>
    <w:p>
      <w:r>
        <w:rPr>
          <w:b/>
        </w:rPr>
        <w:t>E. 1</w:t>
      </w:r>
    </w:p>
    <w:p>
      <w:r>
        <w:t>Par arrêt du 22 janvier 2019, la Chambre des recours pénale du Tribunal cantonal du canton de Vaud a rejeté le recours formé par A.________ SA contre l'ordonnance du 14 décembre 2018 par laquelle le Ministère public de l'arrondissement de Lausanne a refusé d'entrer en matière sur la plainte pénale déposée le 2 novembre 2018 par cette société - pour abus d'autorité - contre l'Office des poursuites du district de Lausanne.</w:t>
      </w:r>
    </w:p>
    <w:p>
      <w:r>
        <w:t>A.________ SA forme un recours en matière pénale au Tribunal fédéral contre l'arrêt précité. Elle conclut, avec suite de frais et dépens, principalement à sa réforme en ce sens que le ministère public doit ouvrir une instruction pénale et, subsidiairement, à son annulation et au renvoi de la cause à l'autorité précédente pour nouvelle décision.</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2.2</w:t>
      </w:r>
    </w:p>
    <w:p>
      <w:r>
        <w:t>En l'espèce, la recourante indique que la décision attaquée pourrait avoir des effets sur le jugement de ses prétentions civiles, dans la mesure où, en raison de l'infraction à l' art. 312 CP dont elle se plaint, elle aurait dû verser une somme de 104'400 EUR afin de libérer des sommes séquestrées. Elle explique en outre que ladite infraction aurait entraîné des dépens à hauteur d'au moins 10'000 fr. ainsi que des frais de justice par 770 francs.</w:t>
      </w:r>
    </w:p>
    <w:p>
      <w:r>
        <w:t>Dans la mesure où la recourante prétend obtenir le remboursement de frais d'avocat ou de frais judiciaires, celle-ci ne fait pas valoir des prétentions civiles au sens de l'art. 81 al. 1 let. b ch. 5 LTF (cf. parmi de nombreux arrêts, 6B_1317/2018 du 28 janvier 2019 consid. 2.2; 6B_1306/2018 du 7 janvier 2019 consid. 2).</w:t>
      </w:r>
    </w:p>
    <w:p>
      <w:r>
        <w:t>Pour le reste, quel que soit l'éventuel dommage causé par une infraction à l' art. 312 CP dont la recourante pourrait se plaindre, celle-ci perd de vue que, s'agissant d'actes reprochés aux fonctionnaires d'un office des poursuites, elle pourrait tout au plus émettre des prétentions reposant sur le droit public à raison de la responsabilité d'agents de l'Etat (cf. art. 5 LP ; cf. aussi la loi vaudoise sur la responsabilité de l'Etat, des communes et de leurs agents [LRECA/VD; RS/VD 170.11]), lesquelles n'entrent pas dans la catégorie des prétentions civiles susmentionnées.</w:t>
      </w:r>
    </w:p>
    <w:p>
      <w:r>
        <w:t>Partant, la recourante n'a pas la qualité pour recourir sur le fond de la cause au sens de l'art. 81 al. 1 let. b ch. 5 LTF.</w:t>
      </w:r>
    </w:p>
    <w:p>
      <w:r>
        <w:rPr>
          <w:b/>
        </w:rPr>
        <w:t>E. 2.3</w:t>
      </w:r>
    </w:p>
    <w:p>
      <w:r>
        <w:t>L'hypothèse visée à l'art. 81 al. 1 let. b ch. 6 LTF n'entre pas en considération, la recourante ne soulevant aucun grief quant à son droit de porter plainte.</w:t>
      </w:r>
    </w:p>
    <w:p>
      <w:r>
        <w:rPr>
          <w:b/>
        </w:rPr>
        <w:t>E. 2.4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En l'occurrence, la recourante ne présente aucun grief de cette nature.</w:t>
      </w:r>
    </w:p>
    <w:p>
      <w:r>
        <w:rPr>
          <w:b/>
        </w:rPr>
        <w:t>E. 3</w:t>
      </w:r>
    </w:p>
    <w:p>
      <w:r>
        <w:t>Au vu de ce qui précède, le recours doit être déclaré irrecevable selon la procédure simplifiée prévue par l' art. 108 al. 1 let. a LTF .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