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6B_317/2008 vom 2. Juli 2008</w:t>
      </w:r>
    </w:p>
    <w:p>
      <w:r>
        <w:t>Bundesgericht, 2008-07-02, FR</w:t>
      </w:r>
    </w:p>
    <w:p>
      <w:r>
        <w:rPr>
          <w:b/>
        </w:rPr>
        <w:t xml:space="preserve">Quelle: </w:t>
      </w:r>
      <w:r>
        <w:t>https://mcp.opencaselaw.ch/entscheid/bger_6B_317_2008</w:t>
      </w:r>
    </w:p>
    <w:p>
      <w:r>
        <w:t>FR: TF 6B_317/2008 du 2 juillet 2008</w:t>
      </w:r>
    </w:p>
    <w:p>
      <w:r>
        <w:t>IT: TF 6B_317/2008 del 2 luglio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rPr>
          <w:b/>
        </w:rPr>
        <w:t>E. 2</w:t>
      </w:r>
    </w:p>
    <w:p>
      <w:r>
        <w:t>Dans un premier moyen, le recourant dénonce une application arbitraire des art. 340 et 350 CPP /GE en tant que la Cour de cassation aurait outrepassé les limites claires que pose le droit cantonal à son pouvoir d'examen. Il lui reproche d'avoir complété l'état de fait arrêté par les premiers juges sur plusieurs points.</w:t>
      </w:r>
    </w:p>
    <w:p>
      <w:r>
        <w:rPr>
          <w:b/>
        </w:rPr>
        <w:t>E. 2.1</w:t>
      </w:r>
    </w:p>
    <w:p>
      <w:r>
        <w:t>L'application du droit cantonal est examinée par le Tribunal fédéral sous l'angle de l'arbitraire ( ATF 131 I 217 consid. 2.1 p. 219; 128 II 311 consid. 2.1 p. 315 et les arrêts cités).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w:t>
      </w:r>
    </w:p>
    <w:p>
      <w:r>
        <w:rPr>
          <w:b/>
        </w:rPr>
        <w:t>E. 2.2</w:t>
      </w:r>
    </w:p>
    <w:p>
      <w:r>
        <w:t>En procédure cantonale genevoise, les arrêts de la Cour correctionnelle peuvent être attaqués par la voie d'un pourvoi auprès de la Cour de cassation genevoise ( art. 339 al. 1 let . c CPP/GE). Voie de droit extraordinaire, le pourvoi est ouvert notamment pour violation de la loi pénale ( art. 340 let. a CPP /GE), question que la Cour de cassation genevoise examine librement.</w:t>
      </w:r>
    </w:p>
    <w:p>
      <w:r>
        <w:t>S'agissant en revanche de l'établissement des faits et de l'appréciation des preuves, cette autorité n'est pas fondée à substituer, à la manière d'une instance d'appel, sa propre appréciation à celle de la Cour correctionnelle. Elle ne peut annuler l'arrêt attaqué que si la Cour correctionnelle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 preuves et l'établissement des faits. C'est dire qu'elle est en principe liée par les faits constatés et par les preuves retenues dans la décision attaquée et ne peut donc compléter l'état de fait ( ATF 128 I 177 consid. 2 p. 182).</w:t>
      </w:r>
    </w:p>
    <w:p>
      <w:r>
        <w:rPr>
          <w:b/>
        </w:rPr>
        <w:t>E. 2.3</w:t>
      </w:r>
    </w:p>
    <w:p>
      <w:r>
        <w:t>En l'espèce, le recourant reproche à la Cour de cassation d'avoir complété l'état de fait du jugement de première instance en introduisant les passages suivants:</w:t>
      </w:r>
    </w:p>
    <w:p>
      <w:r>
        <w:t>E.________ a reconnu avoir, de 2001 à 2006, soit seule, soit de concert avec D.________, C.________, X.________, F.________ et G.________ et encore d'autres trafiquants de drogue jamaïcains, participé à plusieurs transports de cocaïne entre la Jamaïque et Londres (arrêt attaqué p. 3).</w:t>
      </w:r>
    </w:p>
    <w:p>
      <w:r>
        <w:t>L'examen de la mémoire du téléphone mobile de X.________ a établi qu'entre le 12 janvier et le 1er mai 2006, il avait parlé plus d'une quarantaine de fois à F.________, qui se trouvait en Jamaïque. Dix neuf des numéros apparaissant dans les contacts de son téléphone mobile, ou dans son listing rétroactif, sont des numéros de téléphone qu'on retrouve impliqués dans une quinzaine d'investigations menées par les polices vaudoise, neuchâteloise, zurichoise, soleuroise et argovienne dans le cadre de trafics de drogue. Six de ces numéros sont également présents dans la mémoire du téléphone de B.________ et apparaissent dans des enquêtes menées dans le canton de Vaud. Entre le 26 avril et le 8 mai 2006, X.________ a fréquemment appelé ces numéros de téléphone, comme ceux de C.________ et B.________. Selon le rétroactif de B.________, les 4 et 5 mai 2006, des correspondants allemands ont essayé de l'atteindre une vingtaine de fois. Aux mêmes dates, selon les rétroactifs de C.________ et X.________, un même correspondant allemand a essayé de les atteindre à neuf reprises (arrêt attaqué p. 4).</w:t>
      </w:r>
    </w:p>
    <w:p>
      <w:r>
        <w:t>X.________, F.________ et E.________ se connaissaient depuis 2001, dans le cadre d'un trafic de cocaïne qui s'effectuait entre la Jamaïque et Londres, soit bien avant janvier 2005 (arrêt attaqué p. 12).</w:t>
      </w:r>
    </w:p>
    <w:p>
      <w:r>
        <w:t>Les trois importations de drogue programmées fin avril/début mai 2006 ont été organisées de concert par C.________, F.________ et X.________, qui se connaissaient comme l'atteste le fait que leurs numéros de téléphone apparaissent dans la mémoire de leurs téléphones mobiles respectifs. Les « mules » B.________ et E.________ les ont mis en cause dès leur arrestation. Lors de son interpellation à Genève, E.________ a spontanément avoué s'être adonnée, depuis 2001, à un trafic de cocaïne entre la Jamaïque et Londres. Elle a nommément mis en cause (...) X.________ (...) dans ce trafic international remontant à plusieurs années (arrêt attaqué p. 13).</w:t>
      </w:r>
    </w:p>
    <w:p>
      <w:r>
        <w:t>Entre le 20 avril et le 8 mai 2006, X.________ a eu un nombre important d'entretiens téléphoniques avec diverses personnes actives dans le trafic de drogue, dont en particulier C.________ et B.________. (....). Un numéro de téléphone allemand a appelé X.________ et, parallèlement, a tenté de joindre C.________ et B.________ alors que ceux-ci étaient entendus par la police zurichoise, Le lendemain 6 mai 2006, alors qu'il se rendait à la gare de Zurich pour y accueillir E.________, il a été interpellé avec en main un billet manuscrit portant un nom et un numéro de téléphone identique à celui se trouvant sur un billet manuscrit saisi en main de E.________. Au moment de son interpellation, la police zurichoise a retrouvé au domicile de X.________ (...) trente-trois sachets de drogue (arrêt attaqué p. 16).</w:t>
      </w:r>
    </w:p>
    <w:p>
      <w:r>
        <w:t>Domicilié à Zurich, X.________ était à l'évidence un acteur principal et incontournable du trafic de drogue qui s'effectuait entre la Jamaïque et la Suisse, via Londres ou Amsterdam. Il a été nommément mis en cause par C.________, E.________ et B.________. Tous ses liens personnels, remontant à 2001 (...) ne laissent subsister aucun doute sur son implication essentielle dans l'important trafic de drogue international de cocaïne (arrêt attaqué p. 16)</w:t>
      </w:r>
    </w:p>
    <w:p>
      <w:r>
        <w:t>Sur territoire suisse, X.________ jouait un rôle clé. Zurich était le point de chute final et la « plaque tournante » de toutes les livraisons de drogue destinées à la vente en Suisse et en Allemagne. Il y recevait toutes les « mules » ainsi que les autres trafiquant organisateurs comme lui. Son activité était celle d'un participant principal et dirigeant (arrêt attaqué p. 16).</w:t>
      </w:r>
    </w:p>
    <w:p>
      <w:r>
        <w:t>C.________, F.________ et X.________ ont programmé ensemble les trois importations de drogue finalisées fin avril/début mai 2006. Précédemment, et depuis 2001 selon E.________, (...) X.________ avait organisé plusieurs transports de cocaïne entre la Jamaïque et Londre (arrêt attaqué p. 19).</w:t>
      </w:r>
    </w:p>
    <w:p>
      <w:r>
        <w:t>Toutes les personnes arrêtées entre les 3 mai et 6 mai 2006, qui devaient toutes se rejoindre à Zurich où X.________ devait les réceptionner, oeuvraient en bande et étaient actives dans une même organisation criminelle (arrêt attaqué p. 19).</w:t>
      </w:r>
    </w:p>
    <w:p>
      <w:r>
        <w:t>X.________, F.________ et C.________ agissaient tous trois de concert, et selon une répartition de rôles équivalente en importance. Tous trois ont entretenu un nombre impressionnant d'échanges téléphoniques les uns avec les autres (arrêt attaqué p. 19).</w:t>
      </w:r>
    </w:p>
    <w:p>
      <w:r>
        <w:rPr>
          <w:b/>
        </w:rPr>
        <w:t>E. 2.4</w:t>
      </w:r>
    </w:p>
    <w:p>
      <w:r>
        <w:t>Les passages susmentionnés introduisent effectivement des faits qui ne figurent pas dans le jugement de première instance. Ceux-ci ont permis à la Cour de cassation de forger sa conviction quant à la participation du recourant au réseau de trafiquants de drogue. En retenant les faits cités sous consid. 2.3 et en complétant ainsi l'était de fait de première instance, la Cour de cassation est donc clairement sortie du rôle qui lui est assigné par le code de procédure pénale genevois. Elle a en conséquence appliqué de manière arbitraire le droit de procédure cantonal.</w:t>
      </w:r>
    </w:p>
    <w:p>
      <w:r>
        <w:rPr>
          <w:b/>
        </w:rPr>
        <w:t>E. 3</w:t>
      </w:r>
    </w:p>
    <w:p>
      <w:r>
        <w:t>Le recours doit être admis pour ce motif, sans qu'il soit nécessaire d'examiner au surplus si la Cour de cassation a établi de manière arbitraire les faits, si elle a violé le droit d'être entendu et si elle a mal appliqué les art. 19 LStup ainsi que 69 et 70 CP, comme le soutient encore le recourant.</w:t>
      </w:r>
    </w:p>
    <w:p>
      <w:r>
        <w:t>Comme le recourant a obtenu gain de cause, il ne sera pas perçu de frais et le canton de Genève lui versera une indemnité de dépens ( art. 68 al. 1 et 2 LTF ). La demande d'assistance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