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317/2007 vom 16. Oktober 2007</w:t>
      </w:r>
    </w:p>
    <w:p>
      <w:r>
        <w:t>Bundesgericht, 2007-10-16, FR</w:t>
      </w:r>
    </w:p>
    <w:p>
      <w:r>
        <w:rPr>
          <w:b/>
        </w:rPr>
        <w:t xml:space="preserve">Quelle: </w:t>
      </w:r>
      <w:r>
        <w:t>https://mcp.opencaselaw.ch/entscheid/bger_6B_317_2007</w:t>
      </w:r>
    </w:p>
    <w:p>
      <w:r>
        <w:t>FR: TF 6B 317/2007 du 16 octobre 2007</w:t>
      </w:r>
    </w:p>
    <w:p>
      <w:r>
        <w:t>IT: TF 6B 317/2007 del 16 ottobre 2007</w:t>
      </w:r>
    </w:p>
    <w:p>
      <w:pPr>
        <w:pStyle w:val="Heading2"/>
      </w:pPr>
      <w:r>
        <w:t>Regeste</w:t>
      </w:r>
    </w:p>
    <w:p>
      <w:r>
        <w:t>Avocat d'office | Droit pénal (en général)</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La décision attaquée a été rendue par une autorité cantonale de dernière instance ( art. 80 al. 1 LTF ), dans une cause de droit pénal ( art. 78 al. 1 LTF ). Elle peut donc faire l'objet d'un recours en matière pénale ( art. 78 ss LTF ) que le recourant, qui remplit manifestement les conditions de l' art. 81 al. 1 LTF , est habilité à former.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applique le droit d'office ( art. 106 al. 1 LTF ). Il n'est donc limité ni par les arguments du recourant ni par la motivation de l'autorité précédente. Toutefois, compte tenu de l'exigence de motivation prévue à l' art. 42 al. 1 et 2 LTF , et dont la sanction est l'irrecevabilité ( art. 108 al. 1 let. b LTF ), il n'examine en principe que les griefs invoqués et n'est pas tenu de traiter des questions qui ne sont plus discutées devant lui. Il ne peut aller au-delà des conclusions des parties ( art. 107 al. 1 LTF ). Le Tribunal fédéral ne sanctionne une violation de droits fondamentaux que si ce moyen est invoqué et motivé par le recourant ( art. 106 al. 2 LTF ). Les exigences de motivation de l'acte de recours correspondent à celles de l' art. 90 al. 1 let. b OJ (FF 2001 p. 4142), ce qui suppose que les moyens soient expressément soulevés et exposés de manière claire et détaillée dans le mémoire de recours (voir ATF 130 I 26 consid. 2.1 p. 31, 258 consid. 1.3 p. 261/262; 129 I 113 consid. 2.1 p. 120).</w:t>
      </w:r>
    </w:p>
    <w:p>
      <w:r>
        <w:rPr>
          <w:b/>
        </w:rPr>
        <w:t>E. 2</w:t>
      </w:r>
    </w:p>
    <w:p>
      <w:r>
        <w:t>En l'espèce, le recourant ne produit aucune motivation à l'appui des griefs qu'il invoque et qui ne peuvent relever que de la violation de droits constitutionnels. Certes, le recourant a rédigé lui-même son mémoire, circonstance dans laquelle la jurisprudence considère comme suffisante une motivation brève, mais permettant de déceler les raisons pour lesquelles la décision attaquée serait contraire à la Constitution ( ATF 115 Ia 12 consid. 2b, p. 14). Il n'est alors en particulier pas nécessaire que le recourant cite expressément une disposition constitutionnelle, l'invocation indirecte d'un tel principe pouvant, suivant les circonstances, satisfaire aux exigences de motivation ( ATF 115 Ia 12 consid. 2b p. 14 déjà cité). Toutefois, force est de constater que le recours ne satisfait pas aux exigences de motivation, même interprétées sans formalisme. Ainsi, le recourant reproche à l'autorité cantonale de ne pas s'être enquise de savoir s'il souhaitait être assisté d'un avocat. Il ne prétend cependant pas avoir formulé devant les autorités cantonales une requête dans ce sens, ni s'être plaint du refus de celles-ci de l'informer de ses droits, pas plus qu'il n'expose de raisons pour lesquelles il n'aurait pas été en mesure de faire valoir ces droits devant l'autorité cantonale, de sorte qu'il y a lieu de considérer qu'il n'a pas soulevé ces griefs au niveau cantonal. Or, il découle de l'exigence de l'épuisement des voies de droit cantonal, consacrée par l' art. 80 al. 1 LTF , que seuls sont recevables devant le Tribunal fédéral les griefs qui, pouvant l'être, ont été présentés à l'autorité cantonale de dernière instance. La jurisprudence admet cependant la recevabilité de moyens de droit nouveaux lorsque l'autorité cantonale de dernière instance disposait d'un pouvoir d'examen libre et devait appliquer le droit d'office et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119 Ia 88 consid. 1a p. 90/91; 117 Ia 491 consid. 2a p. 495, 522 consid. 3a p. 525/526). Or, tel est précisément le cas en l'espèce, le comportement du recourant apparaissant clairement contraire à la bonne foi. De même, le reproche fait par le recourant à l'autorité cantonale qu'aucune assignation ne lui soit parvenue pour l'audience d'introduction du 19 février 2007 contrevient manifestement au principe de la bonne foi. En effet, le dossier contient un acte judiciaire adressé au recourant en date du 1er février 2007 et portant la mention «CJP Intro 19/2/07, Affaire P/332/06», courrier qui n'a pas été réclamé à la poste. Il s'agit de toute évidence de la citation à l'audience et le recourant est particulièrement mal venu de se plaindre d'un défaut de convocation alors que c'est lui qui n'a pas pris possession du pli en question ( ATF 116 Ia 90 consid. 2a et b, p. 92 et les références citées). Dès lors, le recours doit être déclaré irrecevable et force est de constater de surcroît que dans l'hypothèse où il aurait été recevable, il serait de toute évidence mal fondé.</w:t>
      </w:r>
    </w:p>
    <w:p>
      <w:r>
        <w:rPr>
          <w:b/>
        </w:rPr>
        <w:t>E. 3</w:t>
      </w:r>
    </w:p>
    <w:p>
      <w:r>
        <w:t>Vu l'issue de la procédure,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