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6B_316/2025 vom 11. Juni 2025</w:t>
      </w:r>
    </w:p>
    <w:p>
      <w:r>
        <w:t>Bundesgericht, 2025-06-11, FR</w:t>
      </w:r>
    </w:p>
    <w:p>
      <w:r>
        <w:rPr>
          <w:b/>
        </w:rPr>
        <w:t xml:space="preserve">Quelle: </w:t>
      </w:r>
      <w:r>
        <w:t>https://mcp.opencaselaw.ch/entscheid/bger_6B_316_2025</w:t>
      </w:r>
    </w:p>
    <w:p>
      <w:r>
        <w:t>FR: TF 6B_316/2025 du 11 juin 2025</w:t>
      </w:r>
    </w:p>
    <w:p>
      <w:r>
        <w:t>IT: TF 6B_316/2025 del 11 giugno 2025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En l'espèce, le recourant a été invité par ordonnance du 2 avril 2025, adressée "U.________" à avancer les frais de la procédure, par 800 fr., jusqu'au 2 mai 2025. Ce pli ayant été retourné avec la mention "le destinataire est introuvable à l'adresse indiquée", une nouvelle ordonnance, du 7 avril 2025, l'invitant à avancer les frais de la procédure, par 800 fr., jusqu'au 7 mai 2025 lui a été adressée "V.________". Ce pli a été retourné "non réclamé". L'ordonnance a derechef été adressée à l'intéressé en courrier A le 17 avril 2025. Le recourant n'ayant pas donné suite à ces ordonnances, un délai supplémentaire échéant le 30 mai 2025 lui a été imparti par ordonnance du 19 mai 2025, avec l'indication des conséquences prévues par l' art. 62 al. 3 LTF en cas de non-paiement en temps utile. Ce pli ayant été retourné avec la mention "non retiré", il lui a été réexpédié en courrier A le 30 avril 2025. Le recourant n'a pas versé non plus l'avance de frais requise dans le délai supplémentaire ainsi imparti si bien que son recours doit être déclaré irrecevable pour ce motif.</w:t>
      </w:r>
    </w:p>
    <w:p>
      <w:r>
        <w:rPr>
          <w:b/>
        </w:rPr>
        <w:t>E. 3</w:t>
      </w:r>
    </w:p>
    <w:p>
      <w:r>
        <w:t>Par surabondance, 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(cf. ATF 150 I 50 consid. 3.3.1; ATF 149 IV 231 consid. 2.4; 148 IV 356 consid. 2.1, 409 consid. 2.2; 147 IV 73 consid. 4.1.2).</w:t>
      </w:r>
    </w:p>
    <w:p>
      <w:r>
        <w:rPr>
          <w:b/>
        </w:rPr>
        <w:t>E. 4</w:t>
      </w:r>
    </w:p>
    <w:p>
      <w:r>
        <w:t>En l'espèce, la très brève écriture de recours ne contient pas de conclusions. En tant que le recourant tente d'y expliquer les motifs de son absence à l'audience d'appel, il se fonde sur des faits qui ne ressortent pas de la décision entreprise, sans expliquer en quoi il s'imposerait de déroger aux règles rappelées ci-dessus. Dans la mesure où il critique le fait qu'il n'a pas été assisté d'un avocat d'office et conteste les accusations portées contre lui, ses développements sont dénués de tout rapport avec l'objet de la décision de dernière instance cantonale ( art. 80 al. 1 LTF ), qui porte uniquement sur la question procédurale du retrait de l'appel.</w:t>
      </w:r>
    </w:p>
    <w:p>
      <w:r>
        <w:rPr>
          <w:b/>
        </w:rPr>
        <w:t>E. 5</w:t>
      </w:r>
    </w:p>
    <w:p>
      <w:r>
        <w:t>Faute de paiement de l'avance de frais, le recours, de surcroît motivé de manière insuffisante, est manifestement irrecevable, ce qu'il y a lieu de constater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