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316/2022 vom 6. Dezember 2022</w:t>
      </w:r>
    </w:p>
    <w:p>
      <w:r>
        <w:t>Bundesgericht, 2022-12-06, FR</w:t>
      </w:r>
    </w:p>
    <w:p>
      <w:r>
        <w:rPr>
          <w:b/>
        </w:rPr>
        <w:t xml:space="preserve">Quelle: </w:t>
      </w:r>
      <w:r>
        <w:t>https://mcp.opencaselaw.ch/entscheid/bger_6B_316_2022</w:t>
      </w:r>
    </w:p>
    <w:p>
      <w:r>
        <w:t>FR: TF 6B 316/2022 du 6 décembre 2022</w:t>
      </w:r>
    </w:p>
    <w:p>
      <w:r>
        <w:t>IT: TF 6B 316/2022 del 6 dicembre 2022</w:t>
      </w:r>
    </w:p>
    <w:p>
      <w:pPr>
        <w:pStyle w:val="Heading2"/>
      </w:pPr>
      <w:r>
        <w:t>Regeste</w:t>
      </w:r>
    </w:p>
    <w:p>
      <w:r>
        <w:t>Ordonnance de non-entrée en matière (injure, menaces)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(parmi d'autres: arrêts 6B_1324/2021 du 20 septembre 2022 consid. 1.1.1; 6B_89/2022 du 2 juin 2022 consid. 1.1; 6B_1249/2021 du 30 novembre 2021 consid. 2.1).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1324/2021 précité consid. 1.1.1; 6B_89/2022 précité consid. 1.1; 6B_1249/2021 précité consid. 2.1 et les références citées). N'importe quelle atteinte légère à la réputation professionnelle, économique ou sociale d'une personne ne justifie pas une réparation (arrêts 6B_1272/2021 du 28 avril 2022 consid. 1.1; 6B_1249/2021 précité consid. 2.1; 6B_1145/2019 du 18 décembre 2019 consid. 1.1 et les références citées). Lorsque la partie plaignante se plaint d'infractions distinctes, elle doit mentionner, par rapport à chacune d'elles, en quoi consiste son dommage (arrêts 6B_516/2022 du 2 novembre 2022 consid. 1.1; 6B_1345/2019 du 9 décembre 2019 consid. 2.1; 6B_707/2019 du 29 novembre 2019 consid. 2.1).</w:t>
      </w:r>
    </w:p>
    <w:p>
      <w:r>
        <w:rPr>
          <w:b/>
        </w:rPr>
        <w:t>E. 1.2</w:t>
      </w:r>
    </w:p>
    <w:p>
      <w:r>
        <w:t>Le recourant prétend à l'allocation d'une indemnité pour tort moral "de l'ordre de 10'000 fr." fondée sur l' art. 49 al. 1 CO . Il soutient qu'il a subi une atteinte très importante sur le plan psychologique, vu par ailleurs le contexte dans lequel les injures ont été prononcées, soit en audience et en public. Il soutient que les injures lui ont provoqué une atteinte grave à l'honneur, qui commande une réparation équivalant à 7'500 francs. Quant aux propos menaçants, ils seraient constitutifs de "menaces de mort" et auraient effrayé le recourant. Cette atteinte présenterait une gravité objective et subjective justifiant l'allocation d'une indemnité pour tort moral de 3'500 francs. Tout d'abord, quoi qu'en dise le recourant, la gravité des faits dénoncés et de l'atteinte censée en découler ne s'impose pas comme une évidence. En outre, les troubles dont il prétend avoir souffert en raison des prétendues injures ne ressortent pas de l'arrêt attaqué, ni ne sont étayés par aucune pièce produite par celui-ci. On voit d'ailleurs mal que les termes qui auraient été employés eussent pu atteindre gravement le recourant, avocat expérimenté (cf. notamment arrêt 6B_1145/2019 du 18 décembre 2019 consid. 1.2). De simples affirmations à ce sujet ne sont pas suffisantes eu égard aux exigences de motivation découlant de l' art. 42 al. 2 LTF . En outre, elles ne permettent pas de comprendre en quoi l'atteinte subie atteindrait la gravité objective et subjective que la jurisprudence exige pour l'allocation d'une indemnité pour tort moral (cf. art. 49 CO ; ATF 131 III 26 consid. 12.1). Le recourant n'a dès lors pas la qualité pour recourir sur le fond de la cause s'agissant de l'infraction d'injure. En ce qui concerne les prétendues menaces adressées par C.________ à son épouse, à savoir le message " the lawyer will hate the day you called him " - qui constitue les seuls propos visant le recourant -, les allégations de celui-ci ne sont ni étayées, ni objectivées. Il ne fournit pas d'indication sur les éventuelles souffrances ressenties à la suite des messages adressés à B.________, si ce n'est qu'il aurait été effrayé. De telles souffrances ne découlent pas d'emblée et sans ambiguïté de l'infraction dénoncée, serait-ce au regard du contexte dans lequel ce message a été écrit et des autres messages échangés entre les époux (cf. supra consid. A.c). Ainsi, le recourant ne démontre pas à satisfaction de droit en quoi l'atteinte subie atteindrait la gravité objective et subjective que la jurisprudence exige pour l'allocation d'une indemnité pour tort moral. Il s'ensuit que les conditions de l'art. 81 al. 1 let. a et b ch. 5 LTF ne sont pas remplies en l'espèce. Le recourant n'a dès lors pas non plus la qualité pour recourir sur le fond de la cause, s'agissant de l'infraction de menaces.</w:t>
      </w:r>
    </w:p>
    <w:p>
      <w:r>
        <w:rPr>
          <w:b/>
        </w:rPr>
        <w:t>E. 1.3</w:t>
      </w:r>
    </w:p>
    <w:p>
      <w:r>
        <w:t>L'hypothèse visée à l'art. 81 al. 1 let. b ch. 6 LTF n'entre pas en considération, le recourant ne soulevant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consid.1.1 et les références citées). En l'espèce, le recourant reproche à la cour cantonale et au ministère public d'avoir refusé d'ouvrir une instruction pénale à l'encontre de C.________ et d'avoir refusé d'entendre le témoin sollicité. Ses développements ne visent toutefois qu'à établir ses accusations. Il ne fait ainsi valoir aucun moyen qui peut être séparé du fond et ses griefs ne sauraient non plus fonder sa qualité pour recourir.</w:t>
      </w:r>
    </w:p>
    <w:p>
      <w:r>
        <w:rPr>
          <w:b/>
        </w:rPr>
        <w:t>E. 1.5</w:t>
      </w:r>
    </w:p>
    <w:p>
      <w:r>
        <w:t>Pour le reste, les critiques que soulève le recourant en invoquant les art. 173 ss CP et 310 CPP ainsi que le principe in dubio pro duriore ont trait au fond de la cause, qu'il n'a pas qualité pour discuter (cf. supra consid. 1.2). Elles sont par conséquent irrecevables.</w:t>
      </w:r>
    </w:p>
    <w:p>
      <w:r>
        <w:rPr>
          <w:b/>
        </w:rPr>
        <w:t>E. 2</w:t>
      </w:r>
    </w:p>
    <w:p>
      <w:r>
        <w:t>Sur le vu de ce qui précède,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