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316/2018 vom 11. Mai 2018</w:t>
      </w:r>
    </w:p>
    <w:p>
      <w:r>
        <w:t>Bundesgericht, 2018-05-11, FR</w:t>
      </w:r>
    </w:p>
    <w:p>
      <w:r>
        <w:rPr>
          <w:b/>
        </w:rPr>
        <w:t xml:space="preserve">Quelle: </w:t>
      </w:r>
      <w:r>
        <w:t>https://mcp.opencaselaw.ch/entscheid/bger_6B_316_2018</w:t>
      </w:r>
    </w:p>
    <w:p>
      <w:r>
        <w:t>FR: TF 6B 316/2018 du 11 mai 2018</w:t>
      </w:r>
    </w:p>
    <w:p>
      <w:r>
        <w:t>IT: TF 6B 316/2018 del 11 maggio 2018</w:t>
      </w:r>
    </w:p>
    <w:p>
      <w:pPr>
        <w:pStyle w:val="Heading2"/>
      </w:pPr>
      <w:r>
        <w:t>Regeste</w:t>
      </w:r>
    </w:p>
    <w:p>
      <w:r>
        <w:t>Ordonnance de classement (diffamation, calomnie); qualité pour recourir au Tribunal fédéral | Procédure pénale</w:t>
      </w:r>
    </w:p>
    <w:p>
      <w:pPr>
        <w:pStyle w:val="Heading2"/>
      </w:pPr>
      <w:r>
        <w:t>Erwägungen</w:t>
      </w:r>
    </w:p>
    <w:p>
      <w:r>
        <w:rPr>
          <w:b/>
        </w:rPr>
        <w:t>E. 1.1</w:t>
      </w:r>
    </w:p>
    <w:p>
      <w:r>
        <w:t>Par arrêt du 1er février 2018, la Chambre des recours pénale du Tribunal cantonal vaudois a rejeté le recours de F.________, ainsi que celui de A.________, B.________, C.________, D.________, E.________ et confirmé l'ordonnance du 9 octobre 2017 prononçant le classement de leurs plaintes pénales, respectivement de la procédure citée sous rubrique, instruite contre Y.________ et X.________ pour calomnie, subsidiairement diffamation.</w:t>
      </w:r>
    </w:p>
    <w:p>
      <w:r>
        <w:rPr>
          <w:b/>
        </w:rPr>
        <w:t>E. 1.2</w:t>
      </w:r>
    </w:p>
    <w:p>
      <w:r>
        <w:t>A.________ et consorts recourent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 Les mêmes exigences sont requises à l'égard de celui qui se plaint d'infractions attentatoires à l'honneur (arrêt 6B_94/2013 du 3 octobre 2013 consid. 1.1).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 Les recourants ne se déterminent ni sur le principe ni sur la quotité d'un éventuel tort moral ou dommage. L'absence d'explications suffisantes sur la question des prétentions civiles leur dénie la qualité pour recourir sur le fond de la cause.</w:t>
      </w:r>
    </w:p>
    <w:p>
      <w:r>
        <w:rPr>
          <w:b/>
        </w:rPr>
        <w:t>E. 2.2</w:t>
      </w:r>
    </w:p>
    <w:p>
      <w:r>
        <w:t>L'hypothèse visée à l'art. 81 al. 1 let. b ch. 6 LTF n'entre pas en considération, les recourants ne soulevant aucun grief recevable quant à leur droit de porter plainte (cf. art. 42 al. 1 - 2 et 106 al. 2 LTF).</w:t>
      </w:r>
    </w:p>
    <w:p>
      <w:r>
        <w:rPr>
          <w:b/>
        </w:rPr>
        <w:t>E. 2.3</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les recourants invoquent une violation leur droit d'être entendus, reprochant aux autorités cantonales de n'avoir pas donné suite à certaines de leurs réquisitions de preuves. Ce faisant, ils entendent revenir sur le fond de la cause, aspect sur lequel ils n'ont pas qualité pour recourir (cf. supra consid. 2.1). Pour le reste, ils ne se prévalent d'aucune violation de leurs droits de partie d'une manière recevable au sens des art. 42 al. 2 et 106 al. 2 LTF.</w:t>
      </w:r>
    </w:p>
    <w:p>
      <w:r>
        <w:rPr>
          <w:b/>
        </w:rPr>
        <w:t>E. 3</w:t>
      </w:r>
    </w:p>
    <w:p>
      <w:r>
        <w:t>Sur le vu de ce qui précède, le recours doit être déclaré irrecevable selon la procédure simplifiée prévue par l' art. 108 al. 1 let. a et b LTF . 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