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6B_316/2016 vom 1. Juli 2016</w:t>
      </w:r>
    </w:p>
    <w:p>
      <w:r>
        <w:t>Bundesgericht, 2016-07-01, DE</w:t>
      </w:r>
    </w:p>
    <w:p>
      <w:r>
        <w:rPr>
          <w:b/>
        </w:rPr>
        <w:t xml:space="preserve">Quelle: </w:t>
      </w:r>
      <w:r>
        <w:t>https://mcp.opencaselaw.ch/entscheid/bger_6B_316_2016</w:t>
      </w:r>
    </w:p>
    <w:p>
      <w:r>
        <w:t>FR: TF 6B_316/2016 du 1 juillet 2016</w:t>
      </w:r>
    </w:p>
    <w:p>
      <w:r>
        <w:t>IT: TF 6B_316/2016 del 1 luglio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X.________,</w:t>
      </w:r>
    </w:p>
    <w:p>
      <w:r>
        <w:rPr>
          <w:b/>
        </w:rPr>
        <w:t>E. 2</w:t>
      </w:r>
    </w:p>
    <w:p>
      <w:r>
        <w:t>Die Gerichtskosten sind den Beschwerdeführern je zur Hälfte unter solidarischer Haftung aufzuerlegen ( Art. 66 Abs. 1 und 5 BGG 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