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6B_316/2014 vom 23. Juli 2014</w:t>
      </w:r>
    </w:p>
    <w:p>
      <w:r>
        <w:t>Bundesgericht, 2014-07-23, FR</w:t>
      </w:r>
    </w:p>
    <w:p>
      <w:r>
        <w:rPr>
          <w:b/>
        </w:rPr>
        <w:t xml:space="preserve">Quelle: </w:t>
      </w:r>
      <w:r>
        <w:t>https://mcp.opencaselaw.ch/entscheid/bger_6B_316_2014</w:t>
      </w:r>
    </w:p>
    <w:p>
      <w:r>
        <w:t>FR: TF 6B_316/2014 du 23 juillet 2014</w:t>
      </w:r>
    </w:p>
    <w:p>
      <w:r>
        <w:t>IT: TF 6B_316/2014 del 23 luglio 2014</w:t>
      </w:r>
    </w:p>
    <w:p>
      <w:pPr>
        <w:pStyle w:val="Heading2"/>
      </w:pPr>
      <w:r>
        <w:t>Erwägungen</w:t>
      </w:r>
    </w:p>
    <w:p>
      <w:r>
        <w:rPr>
          <w:b/>
        </w:rPr>
        <w:t>E. 1</w:t>
      </w:r>
    </w:p>
    <w:p>
      <w:r>
        <w:t>Le recourant reproche à la cour cantonale d'avoir rejeté sa requête tendant à l'audition comme témoin de son ex-épouse, alors domiciliée à Athènes, dont il prétend qu'elle conduisait son véhicule lors du dépassement de vitesse incriminé. A cet égard, il invoque une violation de son droit d'être entendu.</w:t>
      </w:r>
    </w:p>
    <w:p>
      <w:r>
        <w:rPr>
          <w:b/>
        </w:rPr>
        <w:t>E. 1.1</w:t>
      </w:r>
    </w:p>
    <w:p>
      <w:r>
        <w:t>Tel qu'il est garanti aux art. 29 al. 2 Cst. et 3 al. 2 let. c CPP,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restreint de l'arbitraire (cf. ATF 138 III 374 consid. 4.3.2 p. 376; 131 I 153 consid. 3 p. 157; arrêt 6B_1160/2013 du 20 février 2014 consid. 2.1).</w:t>
      </w:r>
    </w:p>
    <w:p>
      <w:r>
        <w:rPr>
          <w:b/>
        </w:rPr>
        <w:t>E. 1.2</w:t>
      </w:r>
    </w:p>
    <w:p>
      <w:r>
        <w:t>Relevant que le recourant n'avait pas évoqué l'implication de son ex-épouse lors de son interpellation consécutive à l'excès de vitesse, et qu'elle était en mesure d'apprécier les faits de la cause sans entendre cette dernière, la cour d'appel a rejeté la requête incidente tendant à son audition. Ce rejet s'expliquait car l'ex-épouse était en droit de refuser de répondre en raison de son lien de famille avec le prévenu et de son droit à ne pas s'auto-incriminer. En tout état, sa déposition aurait dû être accueillie avec la plus grande des prudences, vu son lien de famille avec le prévenu.</w:t>
      </w:r>
    </w:p>
    <w:p>
      <w:r>
        <w:rPr>
          <w:b/>
        </w:rPr>
        <w:t>E. 1.3</w:t>
      </w:r>
    </w:p>
    <w:p>
      <w:r>
        <w:t>Sauf à s'offusquer du refus de l'audition de son ex-femme en rappelant qu'il avait pourtant expliqué la raison sous-tendant sa première version (peur que sa compagne apprenne qu'il voyait son ex-femme), le recourant ne discute pas précisément les motifs avancés par l'autorité cantonale de sorte que son grief apparaît irrecevable dans cette mesure ( art. 106 al. 2 LTF ).</w:t>
      </w:r>
    </w:p>
    <w:p>
      <w:r>
        <w:t>Il affirme qu'il est divorcé et en déduit qu'il n'a plus de lien de famille avec son ex-épouse. Or le droit de refuser de témoigner d'un époux subsiste également après la dissolution du mariage (cf. art. 168 al. 1 let. a et al. 2 CPP ). En déclarant qu'une personne divorcée aurait tendance à témoigner de manière neutre et en tout cas objective lorsqu'il s'agit d'éventuellement libérer son ex-époux d'une infraction pénale, le recourant procède par simple affirmation et ne parvient pas à démontrer l'arbitraire du refus d'auditionner son ex-femme. Il affirme que sa requête est bien fondée sans exposer comment, au vu des circonstances, l'audition requise serait apte à établir le fait qu'il entend prouver. Il ne prétend pas non plus que les différents éléments à disposition du tribunal (déclarations lors de l'interpellation, rapports de police, interactions avec l'avocat) ne permettaient pas de juger la cause. Partant, le grief du recourant doit être rejeté dans la mesure où il est recevable.</w:t>
      </w:r>
    </w:p>
    <w:p>
      <w:r>
        <w:rPr>
          <w:b/>
        </w:rPr>
        <w:t>E. 2</w:t>
      </w:r>
    </w:p>
    <w:p>
      <w:r>
        <w:t>Le recourant conteste avoir commis la violation grave des règles de la circulation routière qui lui est reprochée. Il se plaint d'une violation du principe</w:t>
      </w:r>
    </w:p>
    <w:p>
      <w:r>
        <w:t>in dubio pro reo et de l'interdiction de l'arbitraire s'agissant de la constatation des faits.</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w:t>
      </w:r>
    </w:p>
    <w:p>
      <w:r>
        <w:t>Le reproche d'établissement arbitraire des faits se confond avec celui déduit de la violation du principe</w:t>
      </w:r>
    </w:p>
    <w:p>
      <w:r>
        <w:t>in dubio pro reo ( art. 32 Cst. ; art. 10 CPP ; art. 6 par. 2 CEDH ) au stade de l'appréciation des preuves ( ATF 138 V 74 consid. 7 p. 82; 124 IV 86 consid. 2a p. 88).</w:t>
      </w:r>
    </w:p>
    <w:p>
      <w:r>
        <w:rPr>
          <w:b/>
        </w:rPr>
        <w:t>E. 2.2</w:t>
      </w:r>
    </w:p>
    <w:p>
      <w:r>
        <w:t>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w:t>
      </w:r>
    </w:p>
    <w:p>
      <w:r>
        <w:t>Lorsqu'une infraction a été dûment constatée, sans cependant que son auteur puisse être identifié, l'autorité ne saurait se borner à présumer que le véhicule était piloté par son détenteur, en faisant porter le fardeau de la preuve à ce dernier ( ATF 106 IV 142 consid. 3 p. 142; ATF 105 Ib 114 consid. 1 p. 116 en matière de retrait du permis de conduire;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p. 142). Il ne suffit pas au détenteur d'invoquer le droit au silence ou le droit de ne pas s'auto-incriminer pour échapper à une sanction lorsque sa culpabilité n'est pas douteuse (arrêt 6B_562/2010 du 28 octobre 2010 consid. 2.1.2 et les références citées). Lorsque l'accusé fait des déclarations contradictoires, il ne peut invoquer la présomption d'innocence pour contester les conclusions défavorables que le juge a, le cas échéant, tirées de ses déclarations (arrêt 1P.428/2003 du 8 avril 2004 consid. 4.6).</w:t>
      </w:r>
    </w:p>
    <w:p>
      <w:r>
        <w:rPr>
          <w:b/>
        </w:rPr>
        <w:t>E. 2.3</w:t>
      </w:r>
    </w:p>
    <w:p>
      <w:r>
        <w:t>Procédant à une appréciation globale des éléments au dossier, la cour cantonale a écarté la seconde version du recourant incriminant son ex-épouse, au motif qu'elle était invraisemblable. Elle est parvenue à la conclusion que le recourant était l'auteur de l'infraction grave aux règles de circulation, laquelle n'était pas due à une pression exercée par une véhicule circulant derrière lui, dès lors qu'une telle configuration ne ressortait pas de la photographie prise par le radar.</w:t>
      </w:r>
    </w:p>
    <w:p>
      <w:r>
        <w:t>Pour ce faire, la juridiction cantonale a relevé dans un premier temps que, lors de son interpellation immédiatement consécutive à l'excès de vitesse du 25 octobre 2012, le prévenu était seul dans son véhicule et n'avait pas évoqué la présence d'un deuxième occupant dans sa voiture.</w:t>
      </w:r>
    </w:p>
    <w:p>
      <w:r>
        <w:t>Outre la tardiveté de la présentation de la seconde version (par courrier de son avocat du 3 janvier 2013), la cour cantonale a relevé qu'elle semblait intervenir après que le recourant avait réalisé l'impossibilité d'identifier le conducteur sur la photographie du radar. A cet égard, des démarches administratives avaient d'emblée été effectuées auprès du Service des automobiles et de la navigation (ci-après: SAN) par son avocat consulté le 29 octobre 2012 et mandaté, à teneur de la procuration pour les "affaires permis + pénal", soit bien avant que la seconde version soit livrée. Par ailleurs, il n'était pas crédible que le recourant, confronté à une interdiction immédiate de conduire, se soit dénoncé à tort au vu du poids des lourdes conséquences pénales et administratives découlant de l'infraction, lesquelles étaient sans commune mesure avec la crainte, dénuée de fondement, que sa compagne apprenne qu'il avait vu son ex-épouse.</w:t>
      </w:r>
    </w:p>
    <w:p>
      <w:r>
        <w:t>Enfin, les déclarations faites devant le procureur le 9 avril 2013, étayant la seconde version, contenaient des incongruités telles qu'elle paraissait invraisemblable.</w:t>
      </w:r>
    </w:p>
    <w:p>
      <w:r>
        <w:rPr>
          <w:b/>
        </w:rPr>
        <w:t>E. 2.4</w:t>
      </w:r>
    </w:p>
    <w:p>
      <w:r>
        <w:t>Les critiques du recourant relatives à l'appréciation par la cour d'appel de l'invraisemblance de sa seconde version sont pour l'essentiel appellatoires et, partant, irrecevables ( art. 106 al. 2 LTF ; mémoire de recours let. D p. 12 ss). Il en va ainsi des critiques dirigées contre les éléments de temps et de lieu en lien avec le prétendu rendez-vous qu'il avait avec son épouse, dès lors que la cour cantonale a retranscrit ses propres déclarations en audience d'instruction (cf. PV d'audience du 9 avril 2013). Par ailleurs, la question de savoir s'il a prétendument rencontré son ex-épouse à la gare de Montreux ou en ville est sans pertinence puisque l'incongruité relevée découle notamment des craintes exprimées par le recourant du fait d'être vu en présence de son ex-épouse, à deux reprises au même endroit. Enfin, s'agissant de son absence de réaction si son ex-épouse avait réellement été au volant, le recourant n'expose d'aucune manière en quoi cette constatation serait arbitraire, compte tenu notamment de son prétendu itinéraire et du moment de son interpellation.</w:t>
      </w:r>
    </w:p>
    <w:p>
      <w:r>
        <w:t>Il en va de même lorsque le recourant prétend avoir changé de version le 3 janvier 2013 car il ne connaissait ni le dépassement de vitesse ni l'ampleur des sanctions découlant de l'infraction avant que le SAN lui adresse une décision de retrait de sécurité du permis de conduire le 11 décembre 2012. D'une part, il a été informé du dépassement effectué sur-le-champ ( art. 105 al. 2 LTF ; cf. rapport de police, pièce 4). D'autre part, dans la mesure où, parmi ses antécédents pénaux, trois portent sur des infractions à la LCR, lesquelles ont d'ailleurs conduit à des retraits de permis de trois, respectivement de treize mois, il ne saurait prétendre ignorer la suite donnée à ce type d'infractions, ce d'autant qu'il a consulté son avocat à ce sujet le 29 octobre 2012. Au vu du temps écoulé avant d'avoir livré sa seconde version, le recourant échoue à s'opposer au caractère tardif de cette dernière, en invoquant les fêtes de fin d'année.</w:t>
      </w:r>
    </w:p>
    <w:p>
      <w:r>
        <w:t>Partant c'est sans arbitraire que la cour cantonale a écarté la seconde version du recourant, au profit de ses premières déclarations. Au vu des nombreux motifs clairs et pertinents mis en exergue pour ce faire, le recourant ne saurait se plaindre d'une violation de son droit d'être entendu pour défaut de motivation sur ce point.</w:t>
      </w:r>
    </w:p>
    <w:p>
      <w:r>
        <w:t>En se fondant notamment sur les éléments factuels établis, les premières déclarations du recourant, les rapports de police, les interactions avec son avocat, et après avoir valablement écarté ses contestations tardives, c'est sans violer la présomption d'innocence que la cour cantonale a acquis la conviction qu'il s'était rendu coupable de l'infraction reprochée (cf. supra consid. 2.2). Le grief doit être rejeté dans la mesure où il est recevable.</w:t>
      </w:r>
    </w:p>
    <w:p>
      <w:r>
        <w:rPr>
          <w:b/>
        </w:rPr>
        <w:t>E. 3</w:t>
      </w:r>
    </w:p>
    <w:p>
      <w:r>
        <w:t>A titre subsidiaire, le recourant s'en prend à la nature de la peine prononcée et estime qu'il devrait être puni par une peine pécuniaire, cas échéant, cumulativement à une peine de travail d'intérêt général. Sans que le recourant ne se prévale expressément d'une violation du droit fédéral, l'on comprend de ses arguments qu'il invoque une violation de l' art. 41 CP .</w:t>
      </w:r>
    </w:p>
    <w:p>
      <w:r>
        <w:rPr>
          <w:b/>
        </w:rPr>
        <w:t>E. 3.1</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Dans la conception de la partie générale du Code pénal, une peine privative de liberté ne doit être prononcée que lorsque l'Etat ne peut garantir d'une autre manière la sécurité publique. Cela découle d'une part du principe de la proportionnalité, en vertu duquel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et d'autre part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6B_709/2013 du 27 janvier 2014 consid. 2).</w:t>
      </w:r>
    </w:p>
    <w:p>
      <w:r>
        <w:rPr>
          <w:b/>
        </w:rPr>
        <w:t>E. 3.2</w:t>
      </w:r>
    </w:p>
    <w:p>
      <w:r>
        <w:t>Pour prononcer une courte peine privative de liberté, la cour cantonale a pris en considération les antécédents pénaux significatifs du recourant, en particulier en matière de circulation routière (notamment une violation grave). Elle a retenu que les peines pécuniaires prononcées et les mesures administratives infligées n'avaient eu aucun effet correcteur durable sur l'auteur. Il avait par ailleurs fait preuve d'une complète absence de scrupules. Commise de nuit, dans une rue passante d'un centre-ville, en roulant à tombeau ouvert, l'infraction avait généré une mise en danger intense des autres usagers. Ces circonstances dénotaient d'une particulière insensibilité à la sécurité, voire à la vie d'autrui. Elle a en outre formulé un pronostic défavorable au vu du poids des antécédents et du comportement de l'auteur en procédure. Au vu de ces éléments, la juridiction cantonale a estimé qu'une peine pécuniaire ne satisfaisait pas l'exigence de prévention spéciale et a donc prononcé une peine privative de liberté de 120 jours.</w:t>
      </w:r>
    </w:p>
    <w:p>
      <w:r>
        <w:rPr>
          <w:b/>
        </w:rPr>
        <w:t>E. 3.3</w:t>
      </w:r>
    </w:p>
    <w:p>
      <w:r>
        <w:t>Sauf à mentionner l'effet qu'aurait une peine privative de liberté ferme sur sa vie familiale et professionnelle, éléments retenus par le jugement cantonal (cf. consid. C p. 9), le recourant ne critique à aucun égard la motivation cantonale liée à la nature et à la durée de cette dernière. Il se borne à affirmer qu'en application du principe de la proportionnalité, une peine pécuniaire cumulée à un travail d'intérêt général le toucheraient moins sévèrement. Or il est avéré que les peines pécuniaires infligées ne l'ont pas empêché de récidiver. En tout état, compte tenu notamment de la gravité de l'infraction, de l'importance de la culpabilité ainsi que des récidives du recourant, aspects qui ne sont au demeurant pas remis en cause par ce dernier, le prononcé d'une peine privative de liberté de 120 jours ne prête pas le flanc à la critique et est conforme au droit fédéral (cf.</w:t>
      </w:r>
    </w:p>
    <w:p>
      <w:r>
        <w:t>supra consid. 3.1). Mal fondé, son grief doit être rejeté.</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