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6B_314/2017 vom 29. Juni 2017</w:t>
      </w:r>
    </w:p>
    <w:p>
      <w:r>
        <w:t>Bundesgericht, 2017-06-29, DE</w:t>
      </w:r>
    </w:p>
    <w:p>
      <w:r>
        <w:rPr>
          <w:b/>
        </w:rPr>
        <w:t xml:space="preserve">Quelle: </w:t>
      </w:r>
      <w:r>
        <w:t>https://mcp.opencaselaw.ch/entscheid/bger_6B_314_2017</w:t>
      </w:r>
    </w:p>
    <w:p>
      <w:r>
        <w:t>FR: TF 6B_314/2017 du 29 juin 2017</w:t>
      </w:r>
    </w:p>
    <w:p>
      <w:r>
        <w:t>IT: TF 6B_314/2017 del 29 giugno 2017</w:t>
      </w:r>
    </w:p>
    <w:p>
      <w:pPr>
        <w:pStyle w:val="Heading2"/>
      </w:pPr>
      <w:r>
        <w:t>Erwägungen</w:t>
      </w:r>
    </w:p>
    <w:p>
      <w:r>
        <w:rPr>
          <w:b/>
        </w:rPr>
        <w:t>E. 1.1</w:t>
      </w:r>
    </w:p>
    <w:p>
      <w:r>
        <w:t>Entscheide, die der Beschwerde an das Bundesgericht unterliegen, sind den Parteien schriftlich zu eröffnen und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 mit Hinweisen). Diese hat einen neuen Entscheid mit verbesserter Begründung zu fällen, der den Anforderungen von Art. 112 Abs. 1 BGG genügt (Urteile 2C_517/2016 vom 28. Juni 2016 E. 4.4 mit Hinweisen).</w:t>
      </w:r>
    </w:p>
    <w:p>
      <w:r>
        <w:rPr>
          <w:b/>
        </w:rPr>
        <w:t>E. 1.2</w:t>
      </w:r>
    </w:p>
    <w:p>
      <w:r>
        <w:t>Das Bundesgericht überprüft die Anwendung und Auslegung kantonalen Rechts nicht frei, sondern nur auf die Verletzung eines verfassungsmässigen Rechts, namentlich auf Willkür ( BGE 140 III 385 E. 2.3 S. 387).</w:t>
      </w:r>
    </w:p>
    <w:p>
      <w:r>
        <w:rPr>
          <w:b/>
        </w:rPr>
        <w:t>E. 2</w:t>
      </w:r>
    </w:p>
    <w:p>
      <w:r>
        <w:t>Die Vorinstanz erwägt zusammengefasst, bei der Zentralen Inkassostelle handle es sich um eine gerichtsinterne Organisationseinheit, weshalb eine gegen deren Personal gerichtete Aufsichtsbeschwerde nicht in die Kompetenz der Verwaltungskommission bzw. des Gesamtobergerichts gemäss § 80 Abs. 1 und 2 des Gesetzes über die Gerichts- und Behördenorganisation im Zivil- und Strafprozess vom 10. Mai 2010 des Kantons Zürich (GOG; LS 211.1) i.V.m. §§ 8 und 18 der Verordnung über die Organisation des Obergerichts des Kantons Zürich (LS 212.51 [OrganisationsVO]) falle. Die Eingabe des Beschwerdeführers sei jedoch als Rekurs im Sinne der §§ 19 ff. des Verwaltungsrechtspflegegesetzes des Kantons Zürich vom 24. Mai 1959 (VRG; LS 175.2) entgegen zu nehmen. Zwar enthielten die beiden an den Beschwerdeführer adressierten Schreiben der Inkassostelle keinen expliziten Hinweis auf ihren Verfügungscharakter, jedoch seien sie aufgrund des Hinweises auf die Anordnung des Vollzugs der Ersatzfreiheitsstrafe im Falle der Nichtbezahlung der Busse als Androhung einer belastenden Verwaltungsmassnahme zu qualifizieren.</w:t>
      </w:r>
    </w:p>
    <w:p>
      <w:r>
        <w:rPr>
          <w:b/>
        </w:rPr>
        <w:t>E. 3</w:t>
      </w:r>
    </w:p>
    <w:p>
      <w:r>
        <w:t>Der angefochtene Entscheid genügt den Begründungsanforderungen gemäss Art. 112 BGG nicht. Unabhängig von der Frage, ob es sich bei den beiden Schreiben der Inkassostelle an den Beschwerdeführer überhaupt um formelle Anordnungen (im Sinne von § 10 VRG/ZH) handelt, was durchaus fraglich erscheint, legt die Vorinstanz nicht dar, warum die Eingabe des Beschwerdeführers als Rekurs entgegenzunehmen, ein solcher gegen die "Anordnungen" zulässig, sie zu dessen Beurteilung zuständig und der kantonale Rechtsmittelweg ausgeschöpft ist.</w:t>
      </w:r>
    </w:p>
    <w:p>
      <w:r>
        <w:rPr>
          <w:b/>
        </w:rPr>
        <w:t>E. 3.1</w:t>
      </w:r>
    </w:p>
    <w:p>
      <w:r>
        <w:t>Die Vorinstanz äussert sich nicht dazu, ob die beiden Schreiben der Inkassostelle an den Beschwerdeführer überhaupt anfechtbare "Anordnungen" im Sinne von § 19a VRG/ZH darstellen. Selbst wenn man vor dem Hintergrund des Strafurteils vom 26. September 2014 mit der Vorinstanz davon ausgeht, die Inkassostelle habe dem Beschwerdeführer Zwangsmassnahmen angedroht, geht aus dem angefochtenen Entscheid nicht hervor, inwieweit die "Androhungen" das (Vollzugs-) Verfahren abschliessen (§ 19a Abs. 1 VRG/ZH) oder die Voraussetzungen zur Anfechtung von Teil-, Vor- oder Zwischenentscheiden in sinngemässer Anwendung von Art. 91 - 93 BGG erfüllt sind (§ 19a Abs. 2 VRG/ZH).</w:t>
      </w:r>
    </w:p>
    <w:p>
      <w:r>
        <w:rPr>
          <w:b/>
        </w:rPr>
        <w:t>E. 3.2</w:t>
      </w:r>
    </w:p>
    <w:p>
      <w:r>
        <w:t>Die Vorinstanz äussert sich ebenfalls nicht dazu, aufgrund welcher Vorschriften sie ihre Zuständigkeit zur Beurteilung der "angedrohten belastenden Verwaltungsmassnahmen" ableitet. Sie scheint die angedrohten Verwaltugnsmassnahmen als Justizverwaltungsakte der Inkassostelle zu qualifizieren. Diese wurden vom Obergericht - handelnd durch die Inkassostelle als gerichtsinterne Organisationseinheit erlassen (vgl. vorstehend E. 2; sh. auch: § 1 Abs. 1 und 2 der OrganisationsVO i.V.m. § 3 der Verordnung des Obergerichts über das Rechnungswesen der Bezirksgerichte und des Obergerichts sowie über das zentrale Inkasso vom 9. April 2003 (LS 211.14 [RechnungswesenVO]). Zwar fällt gemäss § 18 Abs. 1 lit. a der OrganisationsVO die Rechtsprechung in Justizverwaltungssachen in die Zuständigkeit der Vorinstanz (Verwaltungskommission; vgl. auch HAUSER/SCHWERI/LIEBER, GOG, Kommentar zum zürcherischen Gesetz über die Gerichts- und Behördenorganisation im Zivil- und Strafprozess, 2. Aufl. 2017, N. 14 zu § 201 GOG); ob dies auch die Beurteilung der (eigenen) Justizverwaltungssachen des Obergerichts umfasst, ist fraglich und näher zu begründen. So sieht § 42 lit. c VRG/ZH für Justizverwaltungsakte anderer oberster kantonaler Gerichte (als das Verwaltungsgericht des Kantons Zürich), die diese als einzige Instanz getroffen haben, explizit die Beschwerde ans Verwaltungsgericht vor. Im Gegenzug sind gemäss § 43 Abs. 2 lit. a VRG/ZH Justizverwaltungsakte des Verwaltungsgerichts, die es als einzige Instanz getroffen hat, - zur Wahrung der Rechtsweggarantie (vgl. Art. 29a BV ) - beim Obergericht als vom Verwaltungsgericht unabhängige Justizbehörde anzufechten (vgl. REGINA KIENER, in: Alain Griffel [Hrsg.], Kommentar zum Verwaltungsrechtspflegegesetz des Kantons Zürich [VRG], 3. Aufl. 2014, N. 17 f. zu § 42 und N. 7 ff. VRG).</w:t>
      </w:r>
    </w:p>
    <w:p>
      <w:r>
        <w:rPr>
          <w:b/>
        </w:rPr>
        <w:t>E. 3.3</w:t>
      </w:r>
    </w:p>
    <w:p>
      <w:r>
        <w:t>Sollte die Vorinstanz ihre Zuständigkeit für die Beurteilung in eigenen Justizverwaltungsakten für gegeben und die Anfechtungsvoraussetzungen gemäss § 19a Abs. 1 respektive Abs. 2 VRG/ZH als erfüllt erachten, stellt sich - worauf der Beschwerdeführer hinweist - die Frage, ob es sich beim angefochtenen Entscheid um einen kantonal letztinstanzlichen handelt (vgl. Art. 80 Abs. 1 BGG ), der mit Beschwerde beim Bundesgericht anzufechten ist, wie die Vorinstanz in ihrer Rechtsmittelbelehrung ausführt, oder der Entscheid allenfalls an die Rekurskommission des Obergerichts weiter zu ziehen wäre (vgl. § 19 Abs. 1 OrganisationsVO).</w:t>
      </w:r>
    </w:p>
    <w:p>
      <w:r>
        <w:rPr>
          <w:b/>
        </w:rPr>
        <w:t>E. 3.4</w:t>
      </w:r>
    </w:p>
    <w:p>
      <w:r>
        <w:t>Dem Bundesgericht ist es nicht möglich, den angefochtenen Entscheid auf seine Rechtmässigkeit zu überprüfen. Es ist nicht Aufgabe des Bundesgerichts, kantonales Recht selber anzuwenden. Die Sache ist an die Vorinstanz zurückzuweisen. Zu welchen der offenen Rechtsfragen sie sich äussern muss, hängt namentlich davon ab, ob der Beschwerdeführer angesichts des in den vereinigten Parallelverfahren 6B_334/2017 und 6B_470/2017 ergangenen Urteils des Bundesgerichts vom 23. Juni 2017 noch ein Feststellungsinteresse an einer allfälligen Nichtigkeit der Schreiben der Inkassostelle hat und ob ihm im Falle des Nichteintretens Kosten auferlegt werden.</w:t>
      </w:r>
    </w:p>
    <w:p>
      <w:r>
        <w:rPr>
          <w:b/>
        </w:rPr>
        <w:t>E. 4</w:t>
      </w:r>
    </w:p>
    <w:p>
      <w:r>
        <w:t>Mit der Rückweisung an die Vorinstanz werden die Gesuche um Verbeiständung und aufschiebende Wirkung gegenstandslos. Der nicht anwaltlich vertretene Beschwerdeführer macht keine persönlichen Aufwendungen geltend. Er hat keinen Anspruch auf Entschädigung nach dem Anwaltstarif, weshalb sein Entschädigungsbegehren abzuweisen ist (vgl. BGE 133 III 439 E. 4 mit Hinweis). Bei diesem Verfahrensausgang rechtfertigt es sich, auf die Erhebung von Gerichtskosten zu verzichten ( Art. 66 Abs. 1 Satz 2 und Abs. 4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