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6B_312/2009 vom 17. Juli 2009</w:t>
      </w:r>
    </w:p>
    <w:p>
      <w:r>
        <w:t>Bundesgericht, 2009-07-17, FR</w:t>
      </w:r>
    </w:p>
    <w:p>
      <w:r>
        <w:rPr>
          <w:b/>
        </w:rPr>
        <w:t xml:space="preserve">Quelle: </w:t>
      </w:r>
      <w:r>
        <w:t>https://mcp.opencaselaw.ch/entscheid/bger_6B_312_2009</w:t>
      </w:r>
    </w:p>
    <w:p>
      <w:r>
        <w:t>FR: TF 6B_312/2009 du 17 juillet 2009</w:t>
      </w:r>
    </w:p>
    <w:p>
      <w:r>
        <w:t>IT: TF 6B_312/2009 del 17 luglio 2009</w:t>
      </w:r>
    </w:p>
    <w:p>
      <w:pPr>
        <w:pStyle w:val="Heading2"/>
      </w:pPr>
      <w:r>
        <w:t>Erwägungen</w:t>
      </w:r>
    </w:p>
    <w:p>
      <w:r>
        <w:rPr>
          <w:b/>
        </w:rPr>
        <w:t>E. 1</w:t>
      </w:r>
    </w:p>
    <w:p>
      <w:r>
        <w:t>Dans un premier moyen, le recourant se plaint d'arbitraire dans l'établissement des faits. Il soutient qu'il a été lui-même la victime d'escrocs d'envergure, à savoir E.________ et K.________. C'est ainsi qu'il aurait cru ces derniers lorsqu'ils lui avaient annoncé vouloir investir de l'argent dans sa société H.________ pour la faire revivre.</w:t>
      </w:r>
    </w:p>
    <w:p>
      <w:r>
        <w:rPr>
          <w:b/>
        </w:rPr>
        <w:t>E. 1.1</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39 consid. 1.4.1).</w:t>
      </w:r>
    </w:p>
    <w:p>
      <w:r>
        <w:t>Le recourant qui entend invoquer que les constatations de fait sont arbitraires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(principe d'allégation).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w:t>
      </w:r>
    </w:p>
    <w:p>
      <w:r>
        <w:t>De surcroît, le recourant doit démontrer que la violation qu'il invoque est susceptible d'avoir une influence sur le sort de la cause (art. 97 al. 1, in fine, LTF). Il doit rendre vraisemblable que la décision finale aurait été différente si les faits avaient été établis de manière conforme au droit. Par ailleurs, aucun fait nouveau ni preuve nouvelle ne peut être présenté à moins de résulter de la décision de l'autorité précédente ( art. 99 al. 1 LTF ).</w:t>
      </w:r>
    </w:p>
    <w:p>
      <w:r>
        <w:rPr>
          <w:b/>
        </w:rPr>
        <w:t>E. 1.2</w:t>
      </w:r>
    </w:p>
    <w:p>
      <w:r>
        <w:t>En l'espèce, le recourant se borne à reprendre les critiques qu'il a formulées en instance cantonale contre le jugement de la cour correctionnelle. Il ajoute simplement que la cour cantonale est elle-même tombée dans l'arbitraire en rejetant les griefs qu'il a soulevés, mais ne conteste pas les arguments que les juges cantonaux ont invoqués pour les écarter et n'expose pas en quoi ils auraient refusé à tort de qualifier d'arbitraire l'appréciation des preuves par la cour correctionnelle. Il n'expose pas davantage, si ce n'est de manière purement appellatoire, en quoi les constatations de faits des premiers juges seraient arbitraires. Faute de motivation suffisante, les griefs soulevés par le recourant sont donc irrecevables.</w:t>
      </w:r>
    </w:p>
    <w:p>
      <w:r>
        <w:rPr>
          <w:b/>
        </w:rPr>
        <w:t>E. 2</w:t>
      </w:r>
    </w:p>
    <w:p>
      <w:r>
        <w:t>Le recourant conteste sa condamnation pour abus de confiance. Il explique que les clients ne lui auraient pas remis leurs avoirs pour un usage déterminé, de sorte qu'il n'avait aucune obligation d'en conserver constamment la contre-valeur. En outre, toute intention délictueuse ferait défaut.</w:t>
      </w:r>
    </w:p>
    <w:p>
      <w:r>
        <w:rPr>
          <w:b/>
        </w:rPr>
        <w:t>E. 2.1</w:t>
      </w:r>
    </w:p>
    <w:p>
      <w:r>
        <w:t>Commet un abus de confiance au sens de l' art. 138 ch. 1 al. 2 CP celui qui, sans droit, emploie, à son profit ou au profit d'un tiers, les valeurs patrimoniales qui lui ont été confiées. Par son comportement, l'auteur doit démontrer clairement sa volonté de ne pas respecter les droits de celui qui lui fait confiance ( ATF 129 IV 257 consid. 2.2.1, p. 259 et les références citées).</w:t>
      </w:r>
    </w:p>
    <w:p>
      <w:r>
        <w:t>Sur le plan subjectif, il doit agir intentionnellement, avec le dessein de se procurer ou de procurer à un tiers un enrichissement illégitime, qui peut être réalisé par dol éventuel ( ATF 118 IV 32 consid. 2a p. 34). L'élément subjectif de l'infraction n'est pas donné en cas de capacité de restituer (Ersatzbereitschaft), par quoi l'on désigne l'état de l'auteur qui peut justifier d'avoir, dès lors que la créance était exigible, eu à tout moment la volonté et la possibilité de présenter l'équivalent des montants employés ( ATF 118 IV 32 consid. 2a p. 34).</w:t>
      </w:r>
    </w:p>
    <w:p>
      <w:r>
        <w:rPr>
          <w:b/>
        </w:rPr>
        <w:t>E. 2.2</w:t>
      </w:r>
    </w:p>
    <w:p>
      <w:r>
        <w:t>Selon la jurisprudence, la valeur patrimoniale est considérée comme confiée lorsqu'elle est remise avec l'obligation de la garder à disposition de celui qui l'a confiée jusqu'à l'usage fixé ( ATF 120 IV 117 consid. 2e p. 121). L'auteur acquiert la possibilité de disposer de la valeur patrimoniale, mais, selon un accord (exprès ou tacite) ou un autre rapport juridique, il ne peut en faire qu'un usage déterminé. Il n'est pas nécessaire que le titulaire économique ait perdu toute maîtrise de la chose, mais il suffit que l'auteur puisse en disposer seul ( ATF 119 IV 127 consid. 2 p. 128; critiqué par la doctrine: cf. notamment CORBOZ, Les infractions en droit suisse, vol. I, Berne 2002, n. 21 ad art. 138; MARCEL ALEXANDER NIGGLI/CHRISTOF RIEDO, Basler Kommentar, Strafgesetzbuch II, n. 91 ad art. 138; GÜNTER STRATENWERTH/GUIDO JENNY, Schweizerisches Strafrecht, Bes. Teil I, 6e éd., Berne 2003, § 13 n. 57).</w:t>
      </w:r>
    </w:p>
    <w:p>
      <w:r>
        <w:t>L' art. 138 ch. 1 al. 2 CP vise les cas, dans lesquels - contrairement à l'abus de confiance portant sur une chose mobilière selon l'alinéa premier - l'appartenance à autrui fait défaut ou du moins est discutable. L'alinéa 2 ne s'applique toutefois qu'aux comportements correspondant, par leur structure, à ceux définis à l'alinéa premier. L'auteur devient certes propriétaire des valeurs confiées; c'est pourquoi il acquiert un pouvoir de fait, mais aussi un pouvoir juridique. Les valeurs qui sont entrées dans sa propriété doivent cependant être restituées au déposant. Dans ce sens, elles appartiennent économiquement à autrui. L'auteur doit ainsi conserver constamment la contre-valeur de ce qu'il a reçu (Werterhaltungspflicht). C'est seulement dans ces cas que l'auteur se trouve dans une situation comparable à celle définie à l'alinéa premier. Cette obligation de conservation est donc une condition de la condamnation en vertu de l' art. 138 ch. 1 al. 2 CP ( ATF 133 IV 21 consid. 6.2 p. 27 s.).</w:t>
      </w:r>
    </w:p>
    <w:p>
      <w:r>
        <w:t>L'obligation de conserver la contre-valeur peut reposer sur un accord exprès ou tacite ( ATF 120 IV 117 consid. 2b p. 119). Le pouvoir de disposer de la valeur doit avoir été conféré à l'auteur consciemment et volontairement. Selon la jurisprudence, une valeur est confiée à l'auteur, lorsque celui-ci, par une tromperie antérieure, en a obtenu frauduleusement la libre disposition et que cette tromperie a précisément eu pour but que la victime confie ce bien à l'auteur ( ATF 117 IV 429 consid. 3c).</w:t>
      </w:r>
    </w:p>
    <w:p>
      <w:r>
        <w:t>En cas de prêt, les valeurs sont confiées lorsqu'elles sont remises dans un but déterminé, correspondant aussi à l'intérêt du prêteur, car dans ce cas, on peut déduire de l'accord contractuel un devoir de la part de l'emprunteur de conserver constamment la contre-valeur de ce qu'il a reçu ( ATF 129 IV 257 ). En revanche,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 ATF 133 IV 21 consid. 7.2 p. 30 s).</w:t>
      </w:r>
    </w:p>
    <w:p>
      <w:r>
        <w:rPr>
          <w:b/>
        </w:rPr>
        <w:t>E. 2.3</w:t>
      </w:r>
    </w:p>
    <w:p>
      <w:r>
        <w:t>Il convient d'examiner dans le cas particulier si les avoirs ont été confiés au recourant, autrement dit s'il avait l'obligation d'en conserver la contre-valeur.</w:t>
      </w:r>
    </w:p>
    <w:p>
      <w:r>
        <w:rPr>
          <w:b/>
        </w:rPr>
        <w:t>E. 2.3.1</w:t>
      </w:r>
    </w:p>
    <w:p>
      <w:r>
        <w:t>Dans le cas des placements contractuels en participation au comptant, les clients ont remis leurs avoirs au recourant pour que celui-ci les investisse dans des opérations financières et le recourant s'engageait à leur rendre le 100 % du capital ainsi qu'un rendement allant jusqu'à 30 %. Dès lors qu'il était tenu par contrat d'investir les valeurs remises dans des opérations financières, le recourant avait aussi, jusqu'à leur investissement, l'obligation d'en conserver constamment la contre-valeur. Or, au lieu d'investir ces valeurs sur les marchés financiers, il les a utilisées pour ses besoins propres et pour ceux de sa société (par exemple pour payer les loyers des locaux de H.________ et les salaires des collaborateurs). De la sorte, il a employé sans droit, à son profit ou au profit d'un tiers, une valeur patrimoniale au sens de l' art. 138 ch. 1 al. 2 CP .</w:t>
      </w:r>
    </w:p>
    <w:p>
      <w:r>
        <w:rPr>
          <w:b/>
        </w:rPr>
        <w:t>E. 2.3.2</w:t>
      </w:r>
    </w:p>
    <w:p>
      <w:r>
        <w:t>Le contrat d'option d'achat prévoit que le vendeur (Credit Alliance Bank SA) vendait un droit d'emption sur l'achat de ses actions. Le client devait verser le prix sur un compte de H.________, qui était désignée comme agent unique pour vendre une partie des actions. Le recourant n'était pas lié avec les clients par un contrat bilatéral parfait, mais agissait en tant qu'intermédiaire, à charge pour lui de verser ce montant à Credit Alliance Bank SA. L'argent était ainsi versé à H.________ pour une destination économique convenue. Le recourant avait donc l'obligation de conserver les avoirs déposés sur le compte de H.________ et ne pouvait pas en disposer librement. En utilisant cet argent pour son propre usage, le recourant a employé sans droit une valeur patrimoniale qui lui était confiée. Les conditions objectives de l'abus de confiance sont donc réalisées.</w:t>
      </w:r>
    </w:p>
    <w:p>
      <w:r>
        <w:rPr>
          <w:b/>
        </w:rPr>
        <w:t>E. 2.4</w:t>
      </w:r>
    </w:p>
    <w:p>
      <w:r>
        <w:t>Le recourant conteste avoir agi intentionnellement. Il soutient, non sans témérité, qu'il ignorait à l'époque que les fonds des investisseurs ne faisaient pas l'objet du moindre placement.</w:t>
      </w:r>
    </w:p>
    <w:p>
      <w:r>
        <w:t>Savoir ce que l'auteur voulait, savait ou ce dont il s'accommodait relève du contenu de la pensée, donc de l'établissement des faits, qui ne peuvent être revus dans le cadre d'un recours en matière pénale, à moins qu'ils ne soient entachés d'arbitraire (cf. consid. 1; ATF 125 IV 242 consid. 3c p. 252; 119 IV 1 consid. 5a p. 3).</w:t>
      </w:r>
    </w:p>
    <w:p>
      <w:r>
        <w:t>En l'espèce, l'arrêt attaqué retient, en fait et sans arbitraire (cf. consid. 1), que le recourant savait que la société H.________ n'avait aucune valeur, n'exerçait aucune activité commerciale ni financière et que les fonds des investisseurs n'étaient pas placés. Au vu de ces faits, qui lient la cour de céans, la cour cantonale n'a donc pas violé le droit fédéral en retenant que le recourant avait agi intentionnellement. Par ailleurs et dans la mesure où les fonds ont été utilisés pour ses propres besoins et pour le fonctionnement de ses sociétés (notamment pour le paiement des loyers et des collaborateurs), ce dernier a bien agi dans un dessein d'enrichissement. L'élément subjectif de l'infraction d'abus de confiance est donc réalisé.</w:t>
      </w:r>
    </w:p>
    <w:p>
      <w:r>
        <w:rPr>
          <w:b/>
        </w:rPr>
        <w:t>E. 3</w:t>
      </w:r>
    </w:p>
    <w:p>
      <w:r>
        <w:t>Enfin, le recourant conteste la mesure de la peine. Il reproche à la cour cantonale de ne pas avoir suffisamment tenu compte de l'absence d'antécédents, de son état de santé au moment de la commission de l'infraction ainsi que de l'effet de la peine sur son activité professionnelle.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Contrairement à ce que soutient le recourant, la cour cantonale a relevé que le casier judiciaire suisse ne mentionnait aucun antécédent. On ne saurait donc lui reprocher de ne pas en avoir tenu compte. Le recourant soutient que son état de santé l'aurait affaibli au point qu'il aurait été dans l'incapacité de comprendre que les projets présentés par ses comparses n'existaient pas en réalité. Par cet argumentation, le recourant conteste à nouveau l'établissement des faits dont on pouvait notamment déduire l'intention. Or, comme vu ci-dessus, la cour cantonale a retenu, sans arbitraire, que le recourant savait que les projets n'existaient pas et que les fonds versés par les clients n'étaient pas investis. Enfin, le recourant fait valoir qu'une nouvelle incarcération entraînerait une forte perte de clientèle. Il est vrai que le juge doit tenir compte, dans une certaine mesure, des effets de la peine sur la vie professionnelle de l'auteur ( ATF 121 IV 97 consid. 2d/bb p. 102; 118 IV 21 consid. 1b p. 25). En l'espèce, seule une peine compatible avec le sursis, à savoir de deux ans au maximum, permettrait d'éviter cette conséquence. Une telle peine ne correspondrait toutefois plus à la culpabilité du recourant.</w:t>
      </w:r>
    </w:p>
    <w:p>
      <w:r>
        <w:t>En définitive, le recourant ne cite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le recourant a commis dix-neuf abus de confiance sur une période de plus d'un an et demi et a ainsi causé un préjudice de près de 1,5 million de francs. Il a activement participé à la mise sur pied de la structure destinée à recevoir l'argent des clients et il en a lui même disposé, directement ou sur instructions de tiers, à d'autres fins que celles prévues. Il a lésé des personnes de condition modeste pour la plupart, dont certaines ont perdu leurs économies. Dans ces circonstances, la faute du recourant ne peut qu'être qualifiée de grave. Même en tenant compte de l'absence d'antécédents, la peine de trois ans n'apparaît dès lors pas sévère à un point tel qu'il faille conclure à un abus du large pouvoir d'appréciation accordé à la cour cantonale. Mal fondé, le grief tiré de la violation de l'art. 47 doit donc être écarté.</w:t>
      </w:r>
    </w:p>
    <w:p>
      <w:r>
        <w:rPr>
          <w:b/>
        </w:rPr>
        <w:t>E. 4</w:t>
      </w:r>
    </w:p>
    <w:p>
      <w:r>
        <w:t>Le recours doit ainsi être rejeté dans la mesure où il est recevable.</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