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6B_311/2021 vom 13. Oktober 2021</w:t>
      </w:r>
    </w:p>
    <w:p>
      <w:r>
        <w:t>Bundesgericht, 2021-10-13, DE</w:t>
      </w:r>
    </w:p>
    <w:p>
      <w:r>
        <w:rPr>
          <w:b/>
        </w:rPr>
        <w:t xml:space="preserve">Quelle: </w:t>
      </w:r>
      <w:r>
        <w:t>https://mcp.opencaselaw.ch/entscheid/bger_6B_311_2021</w:t>
      </w:r>
    </w:p>
    <w:p>
      <w:r>
        <w:t>FR: TF 6B_311/2021 du 13 octobre 2021</w:t>
      </w:r>
    </w:p>
    <w:p>
      <w:r>
        <w:t>IT: TF 6B_311/2021 del 13 ottobre 2021</w:t>
      </w:r>
    </w:p>
    <w:p>
      <w:pPr>
        <w:pStyle w:val="Heading2"/>
      </w:pPr>
      <w:r>
        <w:t>Erwägungen</w:t>
      </w:r>
    </w:p>
    <w:p>
      <w:r>
        <w:rPr>
          <w:b/>
        </w:rPr>
        <w:t>E. 1.1</w:t>
      </w:r>
    </w:p>
    <w:p>
      <w:r>
        <w:t>Der Beschwerdeführer rügt, die Vermögenswerte der Beschwerdegegnerin 2 seien ihm nicht anvertraut gewesen. Die Beschwerdegegnerin 2 habe die Gelder in die beiden Gesellschaften F.________ Ltd. und G.________ Ltd. investiert und im Gegenzug Aktien dieser Gesellschaften zum Eigentum erhalten, womit die Parteien keine Werterhaltungs- oder Rückgabepflicht verbunden hätten. Die Treuhandpflicht der D.________ ltd. habe einzig in Bezug auf die von der Beschwerdegegnerin 2 erworbenen Aktien bestanden. Die "Trust Deeds" würden nicht vorschreiben, wie die Gesellschaften konkret ihr Bargeld zu verwalten hätten. Nicht erstellt sei, gestützt auf welche vertragliche oder gesetzliche Bestimmung die Beschwerdegegnerin 2 die strittigen Gelder hätte zurückverlangen können. Er habe dieser gegenüber keine Pflichten verletzt.</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1.3</w:t>
      </w:r>
    </w:p>
    <w:p>
      <w:r>
        <w:t>Die tatbestandsmässige Handlung besteht bei der Veruntreuung von Vermögenswerten im Sinne von Art. 138 Ziff. 1 Abs. 2 StGB in einem Verhalten, durch welches der Täter eindeutig seinen Willen bekundet, den obligatorischen Anspruch des Treugebers zu vereiteln ( BGE 133 IV 21 E. 6.1.1 mit Hinweis). Als anvertraut gilt, was jemand mit der Verpflichtung empfängt, es in bestimmter Weise im Interesse des Treugebers zu verwenden, insbesondere es zu verwahren, zu verwalten oder einem anderen abzuliefern ( BGE 143 IV 297 E. 1.3; 133 IV 21 E. 6.2 mit Hinweis).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zivilrechtlich bestimmt, wieder an den Berechtigten zurückzufliessen. In diesem Sinne sind sie wirtschaftlich fremd. Der Treuhänder ist deshalb verpflichtet, dem Treugeber den Wert des Empfangenen ständig zu erhalten (zum Ganzen: BGE 133 IV 21 E. 6.2 mit Hinweisen). Die Treuepflicht des Täters im Sinne von Art. 138 Ziff. 1 StGB kann auf einer ausdrücklichen oder stillschweigenden Abmachung beruhen. Für die Werterhaltungspflicht genügt auch die Begründung eines faktischen oder tatsächlichen Vertrauensverhältnisses ( BGE 143 IV 297 E. 1.4; 133 IV 21 E. 6.2).</w:t>
      </w:r>
    </w:p>
    <w:p>
      <w:r>
        <w:rPr>
          <w:b/>
        </w:rPr>
        <w:t>E. 1.4</w:t>
      </w:r>
    </w:p>
    <w:p>
      <w:r>
        <w:t>Die Vorinstanz legt willkürfrei dar, weshalb sie zur Erkenntnis gelangt, die Beschwerdegegnerin 2 habe nicht nur die Aktien der beiden Trust-Gesellschaften F.________ Ltd. und G.________ Ltd. erworben, sondern es sei auch vereinbart worden, dass die von ihr auf die Konten der D.________ ltd. überwiesenen Gelder in der Folge den Konten der F.________ Ltd. und der G.________ Ltd. gutgeschrieben werden sollten. Die Gelder waren dem Beschwerdeführer daher anvertraut, da er sie für einen bestimmten Zweck verwenden musste, nämlich für die F.________ Ltd. und die G.________ Ltd., was gemäss der Vorinstanz nicht geschehen ist. Der Beschwerdeführer zeigt nicht ansatzweise auf, weshalb die Gelder der Beschwerdegegnerin 2 einzig für den Kauf der Aktien der F.________ Ltd. und der G.________ Ltd., bei welchen es sich gemäss der Vorinstanz um blosse Mantelgesellschaften handelte, bestimmt gewesen sein sollen. Gemäss der Vorinstanz war im vorinstanzlichen Verfahren unbestritten, dass eine Überweisung der Gelder der Beschwerdegegnerin 2 auf die Konten der beiden Trust-Gesellschaften vereinbart wurde (vgl. angefochtenes Urteil E. 3.3 S. 16). Für eine solche Vereinbarung spricht auch, dass der Beschwerdeführer gegenüber der Beschwerdegegnerin 2 mittels der falschen Bankauszüge vortäuschte, die Gelder seien tatsächlich den erwähnten Konten gutgeschrieben worden. Was der Beschwerdeführer gegen die vorinstanzliche Beweiswürdigung einwendet, erschöpft sich in einer unzulässigen appellatorischen Kritik am angefochtenen Entscheid. Darauf ist nicht weiter einzugehen.</w:t>
      </w:r>
    </w:p>
    <w:p>
      <w:r>
        <w:t>Der vorinstanzliche Schuldspruch wegen qualifizierter Veruntreuung verstösst nicht gegen Bundesrecht.</w:t>
      </w:r>
    </w:p>
    <w:p>
      <w:r>
        <w:rPr>
          <w:b/>
        </w:rPr>
        <w:t>E. 2.1</w:t>
      </w:r>
    </w:p>
    <w:p>
      <w:r>
        <w:t>Der Beschwerdeführer kritisiert zudem, die Vorinstanz habe die von ihm eingereichten Auszüge der Bank H.________ vom 17. Januar 2018 betreffend die Konten der F.________ Ltd. und G.________ Ltd., welche Kontostände von USD 4'895'487.-- und USD 5'151'782.-- ausweisen würden, zu Unrecht unberücksichtigt gelassen und sich geweigert, bei der Bank auf dem Rechtshilfeweg ergänzende Auskünfte einzuholen.</w:t>
      </w:r>
    </w:p>
    <w:p>
      <w:r>
        <w:rPr>
          <w:b/>
        </w:rPr>
        <w:t>E. 2.2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144 II 427 E. 3.1.3 ; 141 I 60 E. 3.3 ; 136 I 229 E. 5.3; Urteil 6B_323/2021 vom 11. August 2021 E. 2.5.1, zur Publikation vorgesehen). Die Rüge unzulässiger antizipierter Beweiswürdigung prüft das Bundesgericht als Tatfrage nur unter dem Aspekt der Willkür ( Art. 97 Abs. 1 BGG ; Urteile 6B_323/2021 vom 11. August 2021 E. 2.5.1, zur Publikation vorgesehen; 6B_1204/2020 vom 24. Februar 2021 E. 3; 6B_1050/2020 vom 20. Mai 2021 E. 2; 6B_986/2020 vom 6. Januar 2021 E. 2; je mit Hinweisen).</w:t>
      </w:r>
    </w:p>
    <w:p>
      <w:r>
        <w:rPr>
          <w:b/>
        </w:rPr>
        <w:t>E. 2.3</w:t>
      </w:r>
    </w:p>
    <w:p>
      <w:r>
        <w:t>Die Vorinstanz legt im angefochtenen Entscheid unter Verweis auf das erstinstanzliche Urteil dar, dass der Beschwerdeführer erwiesenermassen im Juli 2015, im Oktober 2016, im Juli 2017 und im Januar 2018 inhaltlich unwahre Auszüge der Konten der F.________ Ltd. und G.________ Ltd. bei der Bank H.________ einreichte (vgl. angefochtenes Urteil E. 3.9 S. 18 f.). Das Bezirksgericht verglich hierzu die vom Beschwerdeführer eingereichten Bankauszüge mit den bei der Bank edierten Bankunterlagen. Die edierten, inhaltlich wahren Bankunterlagen reichen gemäss dem bezirksgerichtlichen Urteil nur bis zum 26. Juli 2017. Das Bezirksgericht, auf dessen Erwägungen die Vorinstanz verweist, zeigt jedoch auf, weshalb auch die Bankauszüge vom 17. Januar 2018 nicht der Wahrheit entsprechen können. Es begründet dies u.a. mit den widersprüchlichen Erklärungen des Beschwerdeführers zu seinem e-banking Zugang zu den betreffenden Konten, dem Einwand des Beschwerdeführers, die auf den Kontoauszügen ausgewiesenen Beträge hätten sich nur für kurze Zeit zwecks "Dokumentation der Zahlungsfähigkeit" auf den entsprechenden Konten befunden, und der späteren Behauptung des Beschwerdeführers im erstinstanzlichen Verfahren, die Bank habe ihm gegenüber auf den erwähnten Kontoauszügen nur die Kredithöhe und nicht den Kontostand ausgewiesen (erstinstanzliches Urteil S. 43).</w:t>
      </w:r>
    </w:p>
    <w:p>
      <w:r>
        <w:rPr>
          <w:b/>
        </w:rPr>
        <w:t>E. 2.4</w:t>
      </w:r>
    </w:p>
    <w:p>
      <w:r>
        <w:t>Bei dieser Sachlage durfte die Vorinstanz ohne Willkür auf ein ergänzendes Rechtshilfeersuchen verzichten. Der Beschwerdeführer setzt sich mit der bezirksgerichtlichen Begründung, weshalb auch die Bankauszüge vom 17. Januar 2018 nicht den wahren Vermögensstand wiedergeben, nicht ansatzweise auseinander. Seine Rüge vermag den gesetzlichen Begründungsanforderungen nicht zu genügen. Darauf ist nicht weiter einzugehen.</w:t>
      </w:r>
    </w:p>
    <w:p>
      <w:r>
        <w:rPr>
          <w:b/>
        </w:rPr>
        <w:t>E. 3.1</w:t>
      </w:r>
    </w:p>
    <w:p>
      <w:r>
        <w:t>Der Beschwerdeführer macht zudem eine Verletzung seines Anspruchs auf Konfrontation mit Belastungszeugen geltend. Er argumentiert im Wesentlichen, die Beschwerdegegnerin 2 sei nie einvernommen worden, obschon sie ihn mit ihrer Strafanzeige belastet habe.</w:t>
      </w:r>
    </w:p>
    <w:p>
      <w:r>
        <w:rPr>
          <w:b/>
        </w:rPr>
        <w:t>E. 3.2</w:t>
      </w:r>
    </w:p>
    <w:p>
      <w:r>
        <w:t>Die Beschwerdegegnerin 2 (Jahrgang 1937) ist in den USA wohnhaft und machte gemäss dem Beschwerdeführer stets geltend, aus gesundheitlichen Gründen nicht in der Lage zu sein, einer Einvernahme zu folgen (vgl. Beschwerde Ziff. 82 S. 19). Die Vorinstanz erwägt, die Beschwerdegegnerin 2 habe nie Aussagen gemacht, mit welchen der Beschwerdeführer hätte konfrontiert werden müssen. Schilderungen in einer Strafanzeige seien kein Beweismittel, sondern würden den Strafverfolgungsbehörden vielmehr anzeigen, was sie nach Ansicht des Anzeigestellers abzuklären hätten. Die Staatsanwaltschaft und das Bezirksgericht hätten gestützt darauf die für die Beurteilung des angeklagten Sachverhalts notwendigen Beweismittel erhoben. Es treffe daher nicht zu, dass das erstinstanzliche Urteil die Strafanzeige als belastendes Beweismittel verwende und zur Erstellung des Sachverhalts indirekt auf Aussagen der Beschwerdegegnerin 2 abstelle, mit welchen der Beschwerdeführer nie konfrontiert worden sei. Dieser sei sich seiner Werterhaltungspflicht sehr wohl bewusst gewesen. Aus den Aussagen der Beschwerdegegnerin 2 sei kaum etwas Gegenteiliges zu erwarten, weshalb ihre Einvernahme nicht notwendig erscheine (angefochtenes Urteil E. 3.2 S. 11 f.).</w:t>
      </w:r>
    </w:p>
    <w:p>
      <w:r>
        <w:rPr>
          <w:b/>
        </w:rPr>
        <w:t>E. 3.3</w:t>
      </w:r>
    </w:p>
    <w:p>
      <w:r>
        <w:t>Die Kritik des Beschwerdeführers ist unbegründet. Zutreffend ist zwar, dass der Begriff des Belastungszeugen autonom auszulegen ist ( BGE 131 I 476 E. 2.2 ; 125 I 127 E. 6a; Urteil 6B_125/2012 vom 28. Juni 2012 E. 3.3.2). Angaben in der Strafanzeige sind indes keine Beweismittel. Die Vorinstanz legt zudem explizit dar, die Strafanzeige sei nicht als Beweismittel gegen den Beschwerdeführer herangezogen worden. Der Beschwerdeführer setzt sich damit zu Unrecht nicht auseinander. Er widerlegt dies nicht, sondern beschränkt sich in seiner Beschwerde darauf zu behaupten, die Beschwerdegegnerin 2 habe ihn in ihrer Strafanzeige belastet.</w:t>
      </w:r>
    </w:p>
    <w:p>
      <w:r>
        <w:rPr>
          <w:b/>
        </w:rPr>
        <w:t>E. 4</w:t>
      </w:r>
    </w:p>
    <w:p>
      <w:r>
        <w:t>Der Beschwerdeführer trägt zudem vor, bei der von der Beschwerdegegnerin 2 in den hiesigen Verfahren verwendeten Wohnadresse handle es sich in Wahrheit um die Adresse einer von I.________ kontrollierten Gesellschaft. Zudem verwende die Beschwerdegegnerin 2 in den USA offenbar den Namen C.________. Vor diesem Hintergrund müsse die Gläubigeridentität bezweifelt werden.</w:t>
      </w:r>
    </w:p>
    <w:p>
      <w:r>
        <w:t>Darauf ist nicht einzutreten, da der Beschwerdeführer dies erstmals vor Bundesgericht geltend macht (vgl. Art. 99 Abs. 1 BGG ). Im Übrigen erklären sich die beiden Familiennamen gemäss den vom Beschwerdeführer eingereichten Unterlagen damit, dass die Beschwerdegegnerin 2 während der Ehe den Familiennamen "C.________" ihres Ehemannes trug und sie nach dessen Tod wieder ihren Ledignamen "B.________" annahm (vgl. Beschwerde Beilage 4 S. 5 f.). Dass an der Wohnadresse der Beschwerdegegnerin 2 in den USA auch eine Gesellschaft domiziliert ist, ist ebenfalls nicht geeignet, Zweifel an der "Identität" der Beschwerdegegnerin 2 aufkommen zu lassen.</w:t>
      </w:r>
    </w:p>
    <w:p>
      <w:r>
        <w:rPr>
          <w:b/>
        </w:rPr>
        <w:t>E. 5</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r>
        <w:t>Der Beschwerdegegnerin 2 ist keine Entschädigung zuzusprechen, da das Gesuch um aufschiebende Wirkung entgegen ihrem Antrag gutgeheissen wurde und sie im bundesgerichtlichen Verfahren in der Sache nicht zur Stellungnahme aufgefordert wurde, ihr insoweit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