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6B_310/2024 vom 26. März 2025</w:t>
      </w:r>
    </w:p>
    <w:p>
      <w:r>
        <w:t>Bundesgericht, 2025-03-26, DE</w:t>
      </w:r>
    </w:p>
    <w:p>
      <w:r>
        <w:rPr>
          <w:b/>
        </w:rPr>
        <w:t xml:space="preserve">Quelle: </w:t>
      </w:r>
      <w:r>
        <w:t>https://mcp.opencaselaw.ch/entscheid/bger_6B_310_2024</w:t>
      </w:r>
    </w:p>
    <w:p>
      <w:r>
        <w:t>FR: TF 6B_310/2024 du 26 mars 2025</w:t>
      </w:r>
    </w:p>
    <w:p>
      <w:r>
        <w:t>IT: TF 6B_310/2024 del 26 marzo 2025</w:t>
      </w:r>
    </w:p>
    <w:p>
      <w:pPr>
        <w:pStyle w:val="Heading2"/>
      </w:pPr>
      <w:r>
        <w:t>Erwägungen</w:t>
      </w:r>
    </w:p>
    <w:p>
      <w:r>
        <w:rPr>
          <w:b/>
        </w:rPr>
        <w:t>E. 1</w:t>
      </w:r>
    </w:p>
    <w:p>
      <w:r>
        <w:t>Mit der Anordnung der amtlichen Liquidation über die Erbschaft des Beschwerdeführers ist der Sistierungsgrund des bundesgerichtlichen Verfahrens dahingefallen. Dieses ist in Anwendung von Art. 71 BGG i.V.m. Art. 6 Abs. 3 BZP wieder aufzunehmen.</w:t>
      </w:r>
    </w:p>
    <w:p>
      <w:r>
        <w:rPr>
          <w:b/>
        </w:rPr>
        <w:t>E. 2</w:t>
      </w:r>
    </w:p>
    <w:p>
      <w:r>
        <w:t>Der Tod der beschuldigten Person während des kantonalen Verfahrens führt zur Verfahrenseinstellung (vgl. Art. 319 Abs. 1 lit. d und Art. 403 Abs. 1 lit. c StPO ). Anders verhält es sich nach der Rechtsprechung, wenn eine verurteilte Person verstirbt, nachdem die Beschwerde in Strafsachen beim Bundesgericht anhängig gemacht worden ist. Die Erben der verstorbenen Person sind jedoch im Strafpunkt nicht zur Fortsetzung des Beschwerdeverfahrens legitimiert (vgl. Verfügung 6B_981/2023 vom 18. Oktober 2023 E. 2; Urteile 6B_625/2021 vom 9. Dezember 2021 E. 1; 6B_211/2015 vom 19. Februar 2016 E. 2). Ob und inwiefern diese im Zivilpunkt und/oder hinsichtlich der Kosten- und Entschädigungsfolgen ein rechtlich geschütztes Interesse an der Weiterführung des Verfahrens haben, kann offenbleiben. Über die Erbschaft des Beschwerdeführers wurde der Konkurs eröffnet, womit die Konkursverwaltung in die Rechte der Erben eintrat. Weder die Konkursverwaltung noch einzelne Gläubiger haben sich darum bemüht, das bundesgerichtliche Beschwerdeverfahren fortzuführen. Vielmehr gilt das Konkursverfahren als geschlossen, nachdem vorliegend kein Gläubiger innert Frist die Durchführung des Konkursverfahrens begehrt und für dessen Kosten hinreichend Sicherheit geleistet hat (vgl. Art. 230 Abs. 2 SchKG ). Unter diesen Umständen ist das bundesgerichtliche Beschwerdeverfahren als gegenstandslos geworden vom Geschäftsverzeichnis abzuschreiben.</w:t>
      </w:r>
    </w:p>
    <w:p>
      <w:r>
        <w:rPr>
          <w:b/>
        </w:rPr>
        <w:t>E. 3</w:t>
      </w:r>
    </w:p>
    <w:p>
      <w:r>
        <w:t>Gemäss Art. 32 Abs. 2 BGG entscheidet der Instruktionsrichter oder die Instruktionsrichterin als Einzelrichter bzw. Einzelrichterin über die Abschreibung von Verfahren zufolge Gegenstandslosigkeit. Da der Beschwerdeführer jedoch ein Gesuch um unentgeltliche Rechtspflege gestellt hat (vgl. E. 5 hiernach), ist vorliegend nach Art. 64 Abs. 3 Satz 1 BGG in Dreierbesetzung zu entscheiden.</w:t>
      </w:r>
    </w:p>
    <w:p>
      <w:r>
        <w:rPr>
          <w:b/>
        </w:rPr>
        <w:t>E. 4</w:t>
      </w:r>
    </w:p>
    <w:p>
      <w:r>
        <w:t>Bei diesem Ausgang des Verfahrens sind keine Gerichtskosten zu erheben.</w:t>
      </w:r>
    </w:p>
    <w:p>
      <w:r>
        <w:rPr>
          <w:b/>
        </w:rPr>
        <w:t>E. 5</w:t>
      </w:r>
    </w:p>
    <w:p>
      <w:r>
        <w:t>Der verstorbene Beschwerdeführer hat ein Gesuch um unentgeltliche Rechtspflege und Verbeiständung gestellt, an dem weiterhin festgehalten wird (vgl. Sachverhalt C.c).</w:t>
      </w:r>
    </w:p>
    <w:p>
      <w:r>
        <w:rPr>
          <w:b/>
        </w:rPr>
        <w:t>E. 5.1</w:t>
      </w:r>
    </w:p>
    <w:p>
      <w:r>
        <w:t>Das Bundesgericht befreit eine Partei, die nicht über die erforderlichen Mittel verfügt, auf Antrag von der Bezahlung der Gerichtskosten, sofern ihr Rechtsbegehren nicht aussichtslos erscheint ( Art. 64 Abs. 1 BGG ). Unter den gleichen Voraussetzungen bestellt es ihr einen Anwalt oder eine Anwältin, wenn dies zur Wahrung ihrer Rechte notwendig ist ( Art. 64 Abs. 2 BGG ).</w:t>
      </w:r>
    </w:p>
    <w:p>
      <w:r>
        <w:rPr>
          <w:b/>
        </w:rPr>
        <w:t>E. 5.2</w:t>
      </w:r>
    </w:p>
    <w:p>
      <w:r>
        <w:t>Die prozessuale Bedürftigkeit des Beschwerdeführers ist nachgewiesen. Damit bleiben die Prozessaussichten zu prüfen.</w:t>
      </w:r>
    </w:p>
    <w:p>
      <w:r>
        <w:rPr>
          <w:b/>
        </w:rPr>
        <w:t>E. 5.2.1</w:t>
      </w:r>
    </w:p>
    <w:p>
      <w:r>
        <w:t>Der Beschwerdeführer macht kurz zusammengefasst geltend, die Vorinstanz hätte das Berufungsverfahren nicht infolge Rückzugs gestützt auf Art. 407 Abs. 1 lit. a StPO als erledigt abschreiben dürfen. Sie gehe zu Unrecht von seinem unentschuldigten Fernbleiben an der Berufungsverhandlung vom 29. Februar 2024 aus. Er habe mit E-Mail vom 28. Februar 2024 über den erlittenen Sturz orientiert und ein Schreiben der Klinik C.________ eingereicht, das seine Hospitalisation und Verhandlungsunfähigkeit bestätige. Noch am selben Tag und damit rechtzeitig habe er per Einschreiben auch ein formelles schriftliches Verschiebungsgesuch (inkl. Arztzeugnis) gestellt und dieses am Nachmittag des 29. Februar 2024 der Vorinstanz per E-Mail zugestellt.</w:t>
      </w:r>
    </w:p>
    <w:p>
      <w:r>
        <w:rPr>
          <w:b/>
        </w:rPr>
        <w:t>E. 5.2.2</w:t>
      </w:r>
    </w:p>
    <w:p>
      <w:r>
        <w:t>Die Vorinstanz stellt sich auf den Standpunkt, es sei vor Verhandlungsbeginn weder ein ärztliches Zeugnis noch das vom Beschwerdeführer angekündigte Verschiebungsgesuch eingegangen. Sie habe zudem den Rechtsvertreter des Beschwerdeführers nach Eingang der E-Mail vom 28. Februar 2024 explizit darauf hingewiesen, dass die Vorladung zur Berufungsverhandlung nicht widerrufen sei. Da der ordnungsgemäss vorgeladene Beschwerdeführer der Berufungsverhandlung vom 29. Februar 2024 unentschuldigt ferngeblieben sei und sich an dieser auch nicht habe vertreten lassen, sei in Anwendung von Art. 407 Abs. 1 lit. a StPO androhungsgemäss vom Rückzug seiner Berufung auszugehen.</w:t>
      </w:r>
    </w:p>
    <w:p>
      <w:r>
        <w:rPr>
          <w:b/>
        </w:rPr>
        <w:t>E. 5.2.3</w:t>
      </w:r>
    </w:p>
    <w:p>
      <w:r>
        <w:t>Rechtsanwalt Paul Hofer wurde dem Beschwerdeführer im Strafverfahren vor den kantonalen Behörden als notwendiger Verteidiger beigeordnet. Die Vorinstanz übersieht, dass die Rückzugsfiktion von Art. 407 Abs. 1 lit. a StPO im Falle der Abwesenheit der notwendigen Verteidigung nicht zur Anwendung gelangt (Urteil 6B_876/2013 vom 6. März 2014 E. 2.4.1; siehe hierzu auch Urteile 6B_1359/2023 vom 23. September 2024 E. 1.1; 6B_1293/2018 vom 14. März 2019 E. 3.3.2). Denn die notwendige Verteidigung ist bis zum Abschluss des Rechtsmittelverfahrens zu gewähren ( BGE 129 I 281 E. 4.3; Urteile 6B_1111/2017 vom 7. August 2018 E. 2; 6B_354/2017 vom 25. Oktober 2017 E. 1.4). Bleibt sie - wie vorliegend - aus, so wird die Verhandlung verschoben ( Art. 336 Abs. 5 StPO i.V.m. Art. 405 Abs. 1 StPO ; Urteil 6B_876/2013 vom 6. März 2014 E. 2.4.1). Diese Folge tritt unabhängig davon ein, ob die notwendige Verteidigung entschuldigt oder unentschuldigt der Verhandlung fernbleibt (wobei Letzteres disziplinarisch geahndet werden kann). Sie gilt ebenso für den Fall, dass sowohl die beschuldigte Person als auch ihre notwendige Verteidigung nicht zur Verhandlung erscheinen (SVEN ZIMMERLIN, in: Kommentar zur Schweizerischen Strafprozessordnung [StPO], Donatsch/Lieber/Summers/Wohlers [Hrsg.], 3. Aufl. 2020, N. 4 zu Art. 407 StPO ).</w:t>
      </w:r>
    </w:p>
    <w:p>
      <w:r>
        <w:t>Damit steht fest, dass die Beschwerde nicht von vornherein aussichtslos erschien. Dem Gesuch um unentgeltliche Rechtspflege und Verbeiständung ist, soweit dieses nicht gegenstandslos geworden ist (vgl. E. 4), deshalb zu entsprechen.</w:t>
      </w:r>
    </w:p>
    <w:p>
      <w:r>
        <w:rPr>
          <w:b/>
        </w:rPr>
        <w:t>E. 5.3</w:t>
      </w:r>
    </w:p>
    <w:p>
      <w:r>
        <w:t>Der Rechtsvertreter des Beschwerdeführers reichte für das bundesgerichtliche Verfahren eine Honorarnote über Fr. 4'389.60 ein. Die Entschädigung beläuft sich in einem solchen Fall praxisgemäss auf Fr. 3'000.-- (vgl. Urteile 6B_9/2021 vom 8. April 2021 E. 4; 6B_805/2018 vom 6. Juni 2019 E. 3). Es besteht trotz der Honorarnote keine Veranlassung, vom üblichen angemessenen Ansatz (vgl. Art. 64 Abs. 2 BGG )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