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6B_310/2020 vom 17. Juli 2020</w:t>
      </w:r>
    </w:p>
    <w:p>
      <w:r>
        <w:t>Bundesgericht, 2020-07-17, FR</w:t>
      </w:r>
    </w:p>
    <w:p>
      <w:r>
        <w:rPr>
          <w:b/>
        </w:rPr>
        <w:t xml:space="preserve">Quelle: </w:t>
      </w:r>
      <w:r>
        <w:t>https://mcp.opencaselaw.ch/entscheid/bger_6B_310_2020</w:t>
      </w:r>
    </w:p>
    <w:p>
      <w:r>
        <w:t>FR: TF 6B_310/2020 du 17 juillet 2020</w:t>
      </w:r>
    </w:p>
    <w:p>
      <w:r>
        <w:t>IT: TF 6B_310/2020 del 17 luglio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arrêt 6B_375/2020 du 9 juillet 2020 consid. 1.1).</w:t>
      </w:r>
    </w:p>
    <w:p>
      <w:r>
        <w:rPr>
          <w:b/>
        </w:rPr>
        <w:t>E. 1.2</w:t>
      </w:r>
    </w:p>
    <w:p>
      <w:r>
        <w:t>En l'espèce, le recourant explique qu'en raison des blessures subies par suite des faits reprochés aux prévenus, il entend demander à ces derniers le versement d'une indemnité de 10'000 fr. à titre de réparation de son tort moral ainsi que le remboursement de ses frais médicaux, à concurrence d'un montant pour l'heure indéterminé dès lors que des thérapies sont toujours en cours.</w:t>
      </w:r>
    </w:p>
    <w:p>
      <w:r>
        <w:t>Vu la nature alléguée de l'infraction dénoncée et des lésions endurées, qui auraient notamment eu pour conséquence des troubles anxieux affectant de manière sévère la mémoire et la concentration du recourant, ses explications suffisent pour lui reconnaître la qualité pour recourir au sens de l'art. 81 al. 1 let. b ch. 5 LTF. Il y a donc lieu d'entrer en matière.</w:t>
      </w:r>
    </w:p>
    <w:p>
      <w:r>
        <w:rPr>
          <w:b/>
        </w:rPr>
        <w:t>E. 2</w:t>
      </w:r>
    </w:p>
    <w:p>
      <w:r>
        <w:t>Le recourant conteste le classement de la procédure pénale dirigée contre B.________ et G.________.</w:t>
      </w:r>
    </w:p>
    <w:p>
      <w:r>
        <w:rPr>
          <w:b/>
        </w:rPr>
        <w:t>E. 2.1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6B_199/2020 du 9 avril 2020 consid. 3.1).</w:t>
      </w:r>
    </w:p>
    <w:p>
      <w:r>
        <w:t>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(cf. arrêts 6B_375/2020 du 9 juillet 2020 consid. 3.2; 6B_1239/2018 du 11 mars 2019 consid. 3.1).</w:t>
      </w:r>
    </w:p>
    <w:p>
      <w:r>
        <w:rPr>
          <w:b/>
        </w:rPr>
        <w:t>E. 2.2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145 IV 154 consid. 1.1 p. 156).</w:t>
      </w:r>
    </w:p>
    <w:p>
      <w:r>
        <w:rPr>
          <w:b/>
        </w:rPr>
        <w:t>E. 2.3</w:t>
      </w:r>
    </w:p>
    <w:p>
      <w:r>
        <w:t>La cour cantonale a relevé que les déclarations des prévenus, par lesquelles ils avaient nié toute implication dans les faits qui leur étaient reprochés, n'avaient pas varié en cours de procédure, ni n'avaient été contredites par celles des témoins interrogés. Pour sa part, le recourant avait présenté une version des faits fluctuante et empreinte d'incohérences.</w:t>
      </w:r>
    </w:p>
    <w:p>
      <w:r>
        <w:t>Dans ce contexte, et en l'absence de tout élément objectif propre à corroborer les dires du recourant, rien ne permettait de considérer que sa version était plus plausible que celle des prévenus, de sorte qu'un acquittement de ces derniers, s'ils étaient renvoyés en jugement, apparaissait plus probable qu'une condamnation (cf. arrêt attaqué, consid. 3.2 p. 7 s.).</w:t>
      </w:r>
    </w:p>
    <w:p>
      <w:r>
        <w:rPr>
          <w:b/>
        </w:rPr>
        <w:t>E. 2.4</w:t>
      </w:r>
    </w:p>
    <w:p>
      <w:r>
        <w:t>Dans une partie de son acte de recours intitulé " résumé des faits ", le recourant expose sa propre version des événements, en introduisant divers éléments qui ne ressortent pas de l'arrêt attaqué. Ce faisant, il ne présente toutefois aucun grief recevable au regard des exigences de l' art. 42 al. 2 LTF .</w:t>
      </w:r>
    </w:p>
    <w:p>
      <w:r>
        <w:t>De même, en introduction à la partie " motivation et droit " de son mémoire, le recourant cite les dispositions constitutionnelles relatives aux garanties de procédure ( art. 29, 29a et 30 Cst. ; art. 40 Cst./GE ) et à la restriction des droits fondamentaux ( art. 36 Cst. ; art. 43 Cst./GE ), sans que son argumentation ne comprenne, dans la suite du mémoire, de grief concernant une violation de ces dispositions, qui soit motivé à satisfaction des art. 42 al. 2 et 106 al. 2 LTF. Le recours est dès lors irrecevable dans cette mesure.</w:t>
      </w:r>
    </w:p>
    <w:p>
      <w:r>
        <w:rPr>
          <w:b/>
        </w:rPr>
        <w:t>E. 2.5</w:t>
      </w:r>
    </w:p>
    <w:p>
      <w:r>
        <w:t>Pour le reste, le recourant revient sur les déclarations recueillies en cours de procédure en proposant essentiellement une appréciation personnelle de celles-ci, en particulier de celles des prévenus. Dans ce cadre, il ne démontre toutefois pas dans quelle mesure la cour cantonale aurait arbitrairement écarté des éléments probants susceptibles d'établir une implication des prévenus dans les faits qui leur étaient reprochés. En particulier, le recourant ne conteste pas qu'aucun témoin n'avait aperçu les prévenus dans les environs du lieu présumé de l'agression le 14 décembre 2017, ni ne revient sur le caractère fluctuant et incohérent de ses propres déclarations, qui les rendait peu fiables.</w:t>
      </w:r>
    </w:p>
    <w:p>
      <w:r>
        <w:t>On relève à cet égard que la témoin I.________, qui avait vu le recourant recouvert de sang, le soir des faits, a déclaré que celui-ci lui avait dit être tombé (cf. procès-verbal d'audience du Ministère public du 13 mai 2019, p. 3). Or, le recourant avait donné la même explication à son épouse et à son frère, également entendus comme témoins, avant finalement de prétendre, près d'un mois après les faits, qu'il avait été frappé par deux individus (cf. plainte du 18 janvier 2018, p. 2). Des fluctuations dans les déclarations du recourant pouvaient également être constatées s'agissant des circonstances concrètes de l'agression. Il avait ainsi indiqué à la police qu'on lui avait donné un coup sur la tête avec un objet non identifié (cf. plainte du 18 janvier 2018, p. 2), alors qu'il avait déclaré quelques jours plus tôt à son médecin avoir reçu plusieurs coups avec la main, le poing, voire un objet métallique sur le haut du crâne et sur l'orbite gauche alors que sa tête était maintenue en arrière (cf. constat médical du 14 janvier 2018), avant d'affirmer enfin au Procureur qu'on lui avait pris les mains derrière le dos et tapé sur la tête avec un bout de métal (cf. procès-verbal d'audience du Ministère public du 25 février 2019, p. 2). De même, le recourant avait en premier lieu déclaré que l'intervention de la police résultait d'une initiative de son épouse (cf. plainte du 18 janvier 2018, p. 2), avant de prétendre plus tard qu'il avait lui-même appelé la police (cf. procès-verbal d'audience du Ministère public du 25 février 2019, p. 2). Il avait en outre affirmé d'abord ne pas connaître le second agresseur (cf. plainte du 18 janvier 2018, p. 2), puis, par courrier du 20 juillet 2018, que l'identité de ce dernier avait été découverte par son fils après une enquête de voisinage, pour enfin expliquer que l'identité de l'auteur en question lui était connue depuis le début, qu'il l'avait transmise à la police, et qu'elle lui avait été donnée par " une dame qui habitait de l'autre côté " (cf. procès-verbal d'audience du Ministère public du 25 février 2019, p. 3).</w:t>
      </w:r>
    </w:p>
    <w:p>
      <w:r>
        <w:t>Le recourant avait également déclaré que, trois mois avant l'agression, alors qu'il se trouvait chez lui avec E.________, B.________ avait ouvert la porte de l'appartement, était entré et l'avait agressé (cf. procès-verbal d'audience du Ministère public du 25 février 2019, p. 3). Or, selon E.________, cet indicent était survenu à la fin novembre 2017, soit environ deux semaines avant l'agression, devant les boîtes aux lettres de l'immeuble (cf. procès-verbal d'audience du Ministère public du 13 mai 2019, p. 2), ce qui pouvait également être déduit des déclarations de B.________ (cf. procès-verbal d'audience du Ministère public du 21 mars 2019, p. 3).</w:t>
      </w:r>
    </w:p>
    <w:p>
      <w:r>
        <w:t>Aussi, même si l'inconstance des déclarations du recourant pourrait certes s'expliquer par le trouble dont souffre le recourant, lequel affecterait sa mémoire de manière sévère, il ne saurait toutefois être reproché à la cour cantonale d'avoir estimé que les déclarations devaient être considérées avec une certaine prudence (cf. arrêt attaqué, consid. 3.2 p. 8).</w:t>
      </w:r>
    </w:p>
    <w:p>
      <w:r>
        <w:rPr>
          <w:b/>
        </w:rPr>
        <w:t>E. 2.6</w:t>
      </w:r>
    </w:p>
    <w:p>
      <w:r>
        <w:t>Au surplus, si le constat médical produit par le recourant relève que ses lésions sont certes compatibles avec une agression, l'intéressé ne prétend pas pour autant que son médecin, qui l'avait examiné un mois après les faits dénoncés, avait exclu une autre cause, en particulier l'hypothèse d'une mauvaise chute. Dans ce contexte, on ne discerne pas que le refus d'ordonner une expertise médico-légale relève d'un procédé arbitraire. Il en va de même des mesures requises par le recourant tendant à l'inspection des lieux et au prélèvement des traces de sang encore présentes dans la cave, dès lors que celles-ci ne sont pas directement aptes à relever une implication des prévenus. Le recourant ne prétend pas non plus que, parmi les personnes dont il sollicitait l'audition en qualité de témoins, certaines auraient assisté à l'agression dénoncée.</w:t>
      </w:r>
    </w:p>
    <w:p>
      <w:r>
        <w:t>Par ailleurs, contrairement à ce que prétend le recourant, on ne voit pas dans les déclarations des prévenus des incohérences propres à dénoter de manière suffisante qu'ils pourraient être impliqués dans les faits qui leur étaient reprochés. En particulier, B.________ avait reconnu avoir rencontré, depuis son emménagement, un différend avec le recourant, après que celui-ci les aurait épiés, lui et sa compagne, depuis la fenêtre de son appartement, l'aurait menacé avec une barre de fer alors qu'il promenait son chien et aurait arraché, à au moins deux reprises, leur nom inscrit sur leur boîte aux lettres. Il a expliqué que le recourant avait été contrarié que son fils n'avait pas obtenu l'appartement dans lequel il avait emménagé et qu'il était jaloux des deux voitures du couple ainsi que du macaron " handicapé " détenu par sa compagne. B.________ a ainsi admis s'être énervé lors d'une altercation devant les boîtes aux lettres de l'immeuble l'ayant opposé au recourant, qu'il avait alors poussé avec la main. Il a revanche constamment nié être impliqué dans les faits qui lui étaient reprochés (cf. procès-verbal d'audience du Ministère public du 21 mars 2019, p. 2-4). Il en va de même, sur ce dernier point, de G.________, qui a en outre déclaré ne pas connaître le recourant (cf. procès-verbal d'audience du Ministère public du 21 mars 2019, p. 2). En tant qu'il ressortirait des procès-verbaux d'audition que les prévenus avaient été plus " loquaces " lorsque le conseil du recourant leur avait posé ses questions, cela permet éventuellement d'en déduire que celui-ci s'était montré plus insistant que le Procureur. Cette circonstance ne saurait en revanche traduire une possible implication des prévenus.</w:t>
      </w:r>
    </w:p>
    <w:p>
      <w:r>
        <w:t>Cela étant, il faut admettre avec la cour cantonale que l'inimitié entre le recourant et le prévenu B.________ ainsi que l'existence d'une précédente dispute - sans commune mesure avec celle faisant l'objet de la procédure -, ne permettent pas à elles seules de fonder des soupçons suffisants justifiant une mise en accusation.</w:t>
      </w:r>
    </w:p>
    <w:p>
      <w:r>
        <w:rPr>
          <w:b/>
        </w:rPr>
        <w:t>E. 2.7</w:t>
      </w:r>
    </w:p>
    <w:p>
      <w:r>
        <w:t>Il résulte des développements qui précèdent que le classement ordonné par la cour cantonale ne viole pas le principe " in dubio pro duriore ", ni d'une autre manière le droit fédéral.</w:t>
      </w:r>
    </w:p>
    <w:p>
      <w:r>
        <w:rPr>
          <w:b/>
        </w:rPr>
        <w:t>E. 3</w:t>
      </w:r>
    </w:p>
    <w:p>
      <w:r>
        <w:t>Le recourant se plaint encore que les frais de la procédure de recours, par 1000 fr., ont été mis à sa charge.</w:t>
      </w:r>
    </w:p>
    <w:p>
      <w:r>
        <w:t>Néanmoins, dès lors que le recourant a vu son recours être rejeté et qu'il a partant succombé dans la procédure de recours contre l'ordonnance de classement, on ne discerne pas de violation de l' art. 428 al. 1 CPP . Le recourant ne démontre au surplus pas en quoi sa situation imposait à la cour cantonale, en application de l' art. 425 CPP , de lui accorder une réduction ou une remise des frais.</w:t>
      </w:r>
    </w:p>
    <w:p>
      <w:r>
        <w:rPr>
          <w:b/>
        </w:rPr>
        <w:t>E. 4</w:t>
      </w:r>
    </w:p>
    <w:p>
      <w:r>
        <w:t>Le recours doit partant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