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6B_310/2011 vom 20. Juni 2011</w:t>
      </w:r>
    </w:p>
    <w:p>
      <w:r>
        <w:t>Bundesgericht, 2011-06-20, FR</w:t>
      </w:r>
    </w:p>
    <w:p>
      <w:r>
        <w:rPr>
          <w:b/>
        </w:rPr>
        <w:t xml:space="preserve">Quelle: </w:t>
      </w:r>
      <w:r>
        <w:t>https://mcp.opencaselaw.ch/entscheid/bger_6B_310_2011</w:t>
      </w:r>
    </w:p>
    <w:p>
      <w:r>
        <w:t>FR: TF 6B_310/2011 du 20 juin 2011</w:t>
      </w:r>
    </w:p>
    <w:p>
      <w:r>
        <w:t>IT: TF 6B_310/2011 del 20 giugno 2011</w:t>
      </w:r>
    </w:p>
    <w:p>
      <w:pPr>
        <w:pStyle w:val="Heading2"/>
      </w:pPr>
      <w:r>
        <w:t>Erwägungen</w:t>
      </w:r>
    </w:p>
    <w:p>
      <w:r>
        <w:rPr>
          <w:b/>
        </w:rPr>
        <w:t>E. 1.1</w:t>
      </w:r>
    </w:p>
    <w:p>
      <w:r>
        <w:t>La requête de révision et la décision attaquée sont postérieures à l'entrée en vigueur du CPP. Il s'ensuit que les règles de compétence et de procédure des art. 410 ss CPP s'appliquent (cf. RENATE PFISTER-LIECHTI, in Commentaire romand, Code de procédure pénale suisse, 2011, n. 9 ad art. 451 CPP ).</w:t>
      </w:r>
    </w:p>
    <w:p>
      <w:r>
        <w:t>Les motifs de révision pertinents sont en revanche ceux prévus par le droit applicable au moment où la décision dont la révision est demandée a été rendue (cf. NIKLAUS SCHMID, Schweizerische Strafprozessordnung, Praxiskommentar, 2009, n. 2 in fine ad art. 453 CPP ; également VIKTOR LIEBER, in Kommentar zur StPO, 2010, n. 5 ad art. 453 CPP ). Cette réserve est toutefois sans portée en l'occurrence dès lors que, s'agissant d'une révision en faveur du condamné, le motif de révision prévu à l' art. 410 al. 1 let. a CPP correspond à celui de l' art. 385 CP , qui n'a d'ailleurs formellement pas été abrogé (cf. THOMAS FINGERHUTH, in Kommentar zur StPO, 2010, n. 1 ad art. 410 CPP ; MARIANNE HEER, in Basler Kommentar, Schweizerische Strafprozessordnung, 2011, n. 7 ad art. 410 CPP ).</w:t>
      </w:r>
    </w:p>
    <w:p>
      <w:r>
        <w:rPr>
          <w:b/>
        </w:rPr>
        <w:t>E. 1.2</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 art. 385 CP selon laquelle les faits ou moyens de preuve invoqués doivent être nouveaux et sérieux (cf. Message relatif à l'unification du droit de la procédure pénale du 21 décembre 2005, FF 2006 1303 ad art. 417 (actuel art. 410 CPP ); FINGERHUTH, op. cit., n. 54 ss et 61 ss ad art. 410 CPP ; HEER, op. cit., n. 46 ss et 65 ss ad art. 410 CPP ).</w:t>
      </w:r>
    </w:p>
    <w:p>
      <w:r>
        <w:t>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130 IV 72 consid. 1 p. 73).</w:t>
      </w:r>
    </w:p>
    <w:p>
      <w:r>
        <w:rPr>
          <w:b/>
        </w:rPr>
        <w:t>E. 1.3</w:t>
      </w:r>
    </w:p>
    <w:p>
      <w:r>
        <w:t>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 ATF 130 IV 72 consid. 2.3 p. 75 s.).</w:t>
      </w:r>
    </w:p>
    <w:p>
      <w:r>
        <w:t>Il n'y a pas de motif de revenir sur cette jurisprudence. Il faut considérer qu'elle s'applique aussi à une procédure de révision régie par le CPP (cf. FINGERHUTH, op. cit., n. 59 ad art. 410 CPP p. 1986 in initio; HEER, op. cit., n. 42 in fine ad art. 410 CPP ).</w:t>
      </w:r>
    </w:p>
    <w:p>
      <w:r>
        <w:rPr>
          <w:b/>
        </w:rPr>
        <w:t>E. 1.4</w:t>
      </w:r>
    </w:p>
    <w:p>
      <w:r>
        <w:t>Le recourant se réfère en vain aux art. 352 ss CPP relatifs à l'ordonnance pénale dès lors que l'ordonnance de condamnation dont il demande la révision a été prononcée en vertu des art. 256 ss CPP /JU. La procédure jurassienne présentait les caractéristiques habituelles en matière d'ordonnance de condamnation, soit une procédure simplifiée et la faculté pour le condamné, s'il n'acceptait pas la condamnation, de former opposition pour être jugé selon la procédure ordinaire (cf. PIQUEREZ, Traité de procédure pénale suisse, 2ème éd. 2006, n. 1154 ss). Le recourant disposait en particulier d'un délai de 30 jours pour s'opposer à l'ordonnance de condamnation rendue 26 février 2010. On retrouve ainsi les particularités décrites dans l'arrêt précité publié aux ATF 130 IV 72 consid. 2.3. A noter au demeurant que ces caractéristiques sont aussi celles de l'ordonnance pénale selon le CPP.</w:t>
      </w:r>
    </w:p>
    <w:p>
      <w:r>
        <w:rPr>
          <w:b/>
        </w:rPr>
        <w:t>E. 1.5</w:t>
      </w:r>
    </w:p>
    <w:p>
      <w:r>
        <w:t>A l'appui de sa requête de révision, le recourant a invoqué qu'il était père d'un autre enfant né le 1er janvier 2010 et que son activité de musicien des rues ne lui procurait que de modestes revenus.</w:t>
      </w:r>
    </w:p>
    <w:p>
      <w:r>
        <w:t>La procédure pénale qui a abouti à l'ordonnance de condamnation concernait le défaut de paiement d'une obligation d'entretien à l'égard d'un enfant né le 26 avril 2002 selon convention ratifiée par jugement de divorce du 16 décembre 2005. Dans ces circonstances, il ne pouvait pas échapper au recourant que sa situation personnelle (la naissance d'un nouvel enfant et son activité de musicien des rues) était susceptible le cas échéant de jouer un rôle quant à la réalisation de l'infraction reprochée et la fixation de la peine. Le recourant n'avait aucune raison légitime de taire de tels faits et aurait aisément pu les révéler dans une procédure ordinaire mise en oeuvre par une simple opposition à l'ordonnance de condamnation. Il en découle que sa demande de révision doit être qualifiée d'abusive, à l'instar de la solution prévalant dans l'arrêt publié aux ATF 130 IV 72 . Cela scelle le sort de la procédure de révision. Le recours est infondé.</w:t>
      </w:r>
    </w:p>
    <w:p>
      <w:r>
        <w:rPr>
          <w:b/>
        </w:rPr>
        <w:t>E. 1.6</w:t>
      </w:r>
    </w:p>
    <w:p>
      <w:r>
        <w:t>Le recourant se plaint en outre de ce que la cour cantonale a statué en refusant d'entrer en matière au sens de l' art. 412 al. 2 CPP . Dès lors que, comme on l'a vu, la demande de révision doit être considérée comme abusive, le recourant ne dispose d'aucun intérêt juridiquement protégé à se plaindre de l'application de l' art. 412 al. 2 CPP . Cela étant, l'application de cette disposition ne prête pas le flanc à la critique dans le cas d'espèce.</w:t>
      </w:r>
    </w:p>
    <w:p>
      <w:r>
        <w:t>L' 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(al. 4). Selon le message du Conseil fédéral, la procédure d'examen préalable de l'al. 1 sert avant tout à examiner si les moyens de révision invoqués sont vraisemblables (cf. FF 2006 1305 ad art. 419 - actuel art. 412 CPP ; FINGERHUTH, op. cit., n. 1 ad art. 412 CPP ). La procédure de non-entrée en matière de l' art. 412 al. 2 CPP est en principe réservée à des vices de nature formelle (cf. HEER, op. cit., n. 7 ad art. 412 CPP ). Une décision de non-entrée en matière peut néanmoins être envisagée lorsqu'une des conditions de l'examen préalable de l'al. 1 n'est pas remplie (cf. SCHMID, op. cit., n. 2 ad art. 412 CPP ).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 art. 412 al. 3 CPP ) pour ensuite rejeter la demande ( art. 413 al. 1 CPP ). En l'espèce, les motifs de révision invoqués apparaissaient abusifs au vu de la jurisprudence. Dans ces conditions, l'autorité cantonale pouvait statuer en application de l' art. 412 al. 2 CPP .</w:t>
      </w:r>
    </w:p>
    <w:p>
      <w:r>
        <w:rPr>
          <w:b/>
        </w:rPr>
        <w:t>E. 2</w:t>
      </w:r>
    </w:p>
    <w:p>
      <w:r>
        <w:t>Comme les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