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30/2020 vom 6. April 2020</w:t>
      </w:r>
    </w:p>
    <w:p>
      <w:r>
        <w:t>Bundesgericht, 2020-04-06, FR</w:t>
      </w:r>
    </w:p>
    <w:p>
      <w:r>
        <w:rPr>
          <w:b/>
        </w:rPr>
        <w:t xml:space="preserve">Quelle: </w:t>
      </w:r>
      <w:r>
        <w:t>https://mcp.opencaselaw.ch/entscheid/bger_6B_30_2020</w:t>
      </w:r>
    </w:p>
    <w:p>
      <w:r>
        <w:t>FR: TF 6B 30/2020 du 6 avril 2020</w:t>
      </w:r>
    </w:p>
    <w:p>
      <w:r>
        <w:t>IT: TF 6B 30/2020 del 6 aprile 2020</w:t>
      </w:r>
    </w:p>
    <w:p>
      <w:pPr>
        <w:pStyle w:val="Heading2"/>
      </w:pPr>
      <w:r>
        <w:t>Regeste</w:t>
      </w:r>
    </w:p>
    <w:p>
      <w:r>
        <w:t>Opposition à une ordonnance pénale; notification; droit d'être entendu; accès au juge | Procédure pénale</w:t>
      </w:r>
    </w:p>
    <w:p>
      <w:pPr>
        <w:pStyle w:val="Heading2"/>
      </w:pPr>
      <w:r>
        <w:t>Erwägungen</w:t>
      </w:r>
    </w:p>
    <w:p>
      <w:r>
        <w:rPr>
          <w:b/>
        </w:rPr>
        <w:t>E. 1</w:t>
      </w:r>
    </w:p>
    <w:p>
      <w:r>
        <w:t>Le recourant invoque la violation de son droit d'être entendu ( art. 29 al. 2 Cst. ), de la garantie de l'accès au juge et de la garantie d'un procès équitable ( art. 29a Cst. et 6 CEDH). Il soutient en substance qu'il n'a pas eu connaissance des ordonnances pénales en cause, que cela soit par les plaintes pénales ou par l'ouverture des procédures pénales subséquentes, jusqu'au 8 octobre 2019. Il requiert la nullité des ordonnances pénales.</w:t>
      </w:r>
    </w:p>
    <w:p>
      <w:r>
        <w:rPr>
          <w:b/>
        </w:rPr>
        <w:t>E. 1.1.1</w:t>
      </w:r>
    </w:p>
    <w:p>
      <w:r>
        <w:t>En vertu de l' art. 353 al. 3 CPP ,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 art. 85 al. 2 CPP ). Le délai d'opposition contre l'ordonnance pénale est de dix jours (cf. art. 354 al. 1 CPP ). La date de réception étant déterminante pour faire courir le délai d'opposition, la règle de l' art. 85 al. 2 CPP se justifie par le fait qu'il faut acquérir la certitude que le prévenu a bien reçu l'ordonnance pénale et qu'il a eu la possibilité de faire opposition. En ce sens, elle a une fonction de preuve importante ( ATF 142 IV 125 consid. 4.1 p. 127 et les références citées).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1.1.2</w:t>
      </w:r>
    </w:p>
    <w:p>
      <w:r>
        <w:t>La nullité absolue ne frappe que les décisions affectées des vices les plus graves, manifestes ou du moins facilement décelables et pour autant que sa constatation ne mette pas sérieusement en danger la sécurité du droit ( ATF 138 II 501 consid. 3.1 p. 503 s.; 138 III 49 consid. 4.4.3 p. 56; 137 I 273 consid. 3.1 p. 275; arrêt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p. 257; arrêt 6B_667/2017 du 15 décembre 2017 consid. 3.1). Dans le domaine du droit pénal, la sécurité du droit revêt une importance particulière. On ne saurait ainsi admettre facilement la nullité de décisions entrées en force (arrêt 6B_120/2018 du 31 juillet 2018 consid. 2.2 et les références citées).</w:t>
      </w:r>
    </w:p>
    <w:p>
      <w:r>
        <w:rPr>
          <w:b/>
        </w:rPr>
        <w:t>E. 1.2</w:t>
      </w:r>
    </w:p>
    <w:p>
      <w:r>
        <w:t>Sans faire état d'accusés de réception concernant l'envoi des ordonnances pénales litigieuses, la cour cantonale a relevé qu'un extrait du casier judiciaire du recourant avait été versé dans le dossier d'une procédure pénale subséquente dirigée contre lui et que la défense avait obtenu la consultation de l'entier du dossier le 14 janvier 2019. Ainsi, le délai d'opposition devait partir au plus tard à cette date là.</w:t>
      </w:r>
    </w:p>
    <w:p>
      <w:r>
        <w:rPr>
          <w:b/>
        </w:rPr>
        <w:t>E. 1.3</w:t>
      </w:r>
    </w:p>
    <w:p>
      <w:r>
        <w:t>Un tel raisonnement ne résiste pas à l'examen. L'arrêt entrepris et les prononcés de première instance ne font aucune mention d'une notification valable des ordonnances pénales litigieuses. Au contraire, celle du 7 septembre 2017, contient la mention " Notification à : Monsieur A.________, sans domicile connu, ne peut être avisé " (cf. art. 105 al. 2 LTF ). Faute d'accusé de réception, l'autorité supporte le fardeau de la preuve de la notification de ces deux ordonnances pénales. Or l'extrait du casier judiciaire dans une procédure subséquente concernant le recourant et l'accès à ce dossier-ci par la défense, ne suffisent pas à prouver que le recourant aurait personnellement pris connaissance des deux ordonnances pénales et de l'entier de leur contenu. Faute d'autre indice sur la prise de connaissance effective des ordonnances pénales litigieuses, c'est la date indiquée par le recourant qui doit faire foi, à savoir le 8 octobre 2019. Par conséquent, la cour cantonale a violé le droit fédéral en confirmant la tardiveté des oppositions du recourant. Celles-ci, formées le 18 octobre 2019, sont intervenues dans le délai légal de dix jours fixé à l' art. 354 al. 1 CPP . Bien fondé, le recours doit être admis sur ce point. Dès lors que le recours doit être admis sur ce point, il n'y a pas lieu d'examiner le grief soulevé par le recourant déduit des dispositions sur la récusation du juge de première instance. Dans la mesure où les vices soulevés par le recourant devront être examinés par la voie de l'opposition ( art. 354 CPP ), les conditions exceptionnelles de la nullité ne sont pas réalisées en l'espèce.</w:t>
      </w:r>
    </w:p>
    <w:p>
      <w:r>
        <w:rPr>
          <w:b/>
        </w:rPr>
        <w:t>E. 2</w:t>
      </w:r>
    </w:p>
    <w:p>
      <w:r>
        <w:t>Au vu de ce qui précède, la décision attaquée doit être annulée et la cause renvoyée, en application de l' art. 107 al. 2 2 ème phrase LTF, au Tribunal de l'arrondissement de la Broye et du Nord vaudois afin qu'il donne suite aux oppositions du recourant. La cause sera également renvoyée à la cour cantonale pour une nouvelle décision sur les frais et dépens ( art. 67 et 68 al. 5 LTF ). Dans la mesure où l'objet du litige s'est limité à une question de nature purement procédurale et que le Tribunal fédéral n'a pas traité la cause sur le fond, ne préjugeant ainsi pas de l'issue de la cause, il peut être procédé au renvoi sans ordonner préalablement un échange d'écritures (cf. ATF 133 IV 293 consid. 3.4.2 p. 296; arrêt 6B_248/2019 du 29 mars 2019 consid. 3). Le recourant, qui obtient gain de cause, peut prétendre à une indemnité de dépens à la charge du canton de Vaud ( art. 68 al. 1 et 2 LTF ), ce qui rend sans objet sa demande d'assistance judiciaire ( art. 64 al. 1 LTF ). 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