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309/2015 vom 19. November 2015</w:t>
      </w:r>
    </w:p>
    <w:p>
      <w:r>
        <w:t>Bundesgericht, 2015-11-19, DE</w:t>
      </w:r>
    </w:p>
    <w:p>
      <w:r>
        <w:rPr>
          <w:b/>
        </w:rPr>
        <w:t xml:space="preserve">Quelle: </w:t>
      </w:r>
      <w:r>
        <w:t>https://mcp.opencaselaw.ch/entscheid/bger_6B_309_2015</w:t>
      </w:r>
    </w:p>
    <w:p>
      <w:r>
        <w:t>FR: TF 6B 309/2015 du 19 novembre 2015</w:t>
      </w:r>
    </w:p>
    <w:p>
      <w:r>
        <w:t>IT: TF 6B 309/2015 del 19 novembre 2015</w:t>
      </w:r>
    </w:p>
    <w:p>
      <w:pPr>
        <w:pStyle w:val="Heading2"/>
      </w:pPr>
      <w:r>
        <w:t>Regeste</w:t>
      </w:r>
    </w:p>
    <w:p>
      <w:r>
        <w:t>Einstellungsverfügung (Veruntreuung, ungetreue Geschäftsbesorgung, Urkundenfälschung), Beschwerdelegitimation | Strafprozess</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S. 217; 126 V 283 E. 1 S. 285; 113 Ia 390 E. 1 S. 394). Diese Voraussetzungen sind vorliegend erfüllt. Es rechtfertigt sich daher, die Verfahren 6B_309/2015 und 6B_314/2015 zu vereinigen.</w:t>
      </w:r>
    </w:p>
    <w:p>
      <w:r>
        <w:rPr>
          <w:b/>
        </w:rPr>
        <w:t>E. 2.1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2.2</w:t>
      </w:r>
    </w:p>
    <w:p>
      <w:r>
        <w:t>Die Beschwerdeführer rügen, die Vorinstanz habe ihnen als Privatkläger zu Unrecht die Beschwerdelegitimation gegen die Einstellungs- und die Nichtanhandnahmeverfügung, je vom 17. September 2014, abgesprochen. Damit machen sie eine Verletzung von formellen Rechten geltend, wozu sie unabhängig von der Legitimation in der Sache berechtigt sind. Auf die Beschwerden ist daher einzutreten.</w:t>
      </w:r>
    </w:p>
    <w:p>
      <w:r>
        <w:rPr>
          <w:b/>
        </w:rPr>
        <w:t>E. 3.1</w:t>
      </w:r>
    </w:p>
    <w:p>
      <w:r>
        <w:t>Die Vorinstanz argumentiert zur Hauptsache, da vorliegend Dritten strafbare Handlungen zum Nachteil der Erbengemeinschaft vorgeworfen würden, seien die Erben nur gemeinsam zur Beschwerde legitimiert. Die Beschwerden seien indessen anerkanntermassen lediglich von einem Teil der ursprünglich als Erben von I.________ sel. anerkannten Personen eingereicht worden. Die Vorinstanz verweigert den Beschwerdeführern folglich die Beschwerdelegitimation mit der Begründung, alle Erben hätten gemeinsam Beschwerde gegen die angefochtenen Beschlüsse erheben müssen.</w:t>
      </w:r>
    </w:p>
    <w:p>
      <w:r>
        <w:rPr>
          <w:b/>
        </w:rPr>
        <w:t>E. 3.2</w:t>
      </w:r>
    </w:p>
    <w:p>
      <w:r>
        <w:t>Die Parteien können die Einstellungsverfügung innert 10 Tagen bei der Beschwerdeinstanz anfechten ( Art. 322 Abs. 2 StPO ). Das Verfahren bei einer Nichtanhandnahme richtet sich sinngemäss nach den Bestimmungen über die Verfahrenseinstellung ( Art. 310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 Die geschädigte Person kann sich gemäss Art. 119 Abs. 2 StPO als Straf- und/oder Zivilklägerin am Strafverfahren beteiligen.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Zivilforderungen sind keine notwendige Voraussetzung für die Bejahung der strafrechtlichen Geschädigtenstellung nach Art. 115 Abs. 1 StPO und die Beteiligung am Strafverfahren als Strafkläger. Die Rechtsmittellegitimation im kantonalen Verfahren hängt - anders als die Legitimation zur Beschwerde in Strafsachen in der Sache an das Bundesgericht (vgl. Art. 81 Abs. 1 lit. b Ziff. 5 BGG; BGE 141 IV 1 E. 1.1 S. 4 f. mit Hinweisen) - nicht davon ab, ob der Geschädigte Zivilforderungen hat (zum Ganzen Urteil 6B_1198/2014 vom 3. September 2015 E. 2.3.1 mit Hinweisen, zur Publikation vorgesehen).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(Urteil 6B_1198/2014 vom 3. September 2015 E. 2.2 mit Hinweis, zur Publikation vorgesehen).</w:t>
      </w:r>
    </w:p>
    <w:p>
      <w:r>
        <w:rPr>
          <w:b/>
        </w:rPr>
        <w:t>E. 3.3</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jeden Erben gemäss Art. 652 ZGB auf die ganze Sache gehen. Die Erbengemeinschaft ist - wie die einfache Gesellschaft ( Art. 530 ff. OR ) - eine Gemeinschaft zur gesamten Hand. Als solche bildet sie eine Rechtsgemeinschaft ohne Rechtspersönlichkeit, die mangels Rechtsfähigkeit nicht Trägerin von Rechten und Pflichten sein kann (Urteil 6B_1198/2014 vom 3. September 2015 E. 2.3.2 mit Hinweisen, zur Publikation vorgesehen). Da die Erbengemeinschaft selber nicht rechtsfähig ist und somit nicht Trägerin des durch die verletzte Strafnorm geschützten Rechtsgutes sein kann, gelten bei strafbaren Handlungen zum Nachteil der Erbengemeinschaft nach der unter der StPO ergangenen Rechtsprechung die einzelnen Erben als Geschädigte im Sinne von Art. 115 Abs. 1 StPO (Urteile 6B_1198/2014 vom 3. September 2015 E. 2.3.3, zur Publikation vorgesehen; 1B_348/2012 vom 3. Oktober 2012 E. 1.2.6; je mit Hinweisen; siehe für die einfache Gesellschaft auch Urteile 6B_116/2015 vom 8. Oktober 2015 E. 2.1; 1B_9/2015 vom 23. Juni 2015 E. 2.3.2). Das Bundesgericht bestätigte im kürzlich ergangenen Grundsatzentscheid 6B_1198/2014 zudem seine frühere Rechtsprechung, wonach das Strafantragsrecht bei Straftaten zum Nachteil einer Gemeinschaft zur gesamten Hand jedem Mitglied persönlich zusteht (Urteil 6B_1198/2014 vom 3. September 2015 E. 2.3.4 mit Hinweisen, zur Publikation vorgesehen). Es entschied im erwähnten Grundsatzentscheid weiter, der geschädigte Erbe, der persönlich Strafantrag stellen könne, könne sich gemäss Art. 118 Abs. 1 und 2 StPO im Strafpunkt als Privatkläger (Strafkläger; Art. 119 Abs. 2 lit. a StPO ) konstituieren. Als Privatkläger im Strafpunkt ist der einzelne Erbe Partei im Sinne von Art. 104 Abs. 1 lit. b StPO , womit er nach Art. 310 Abs. 2 und Art. 322 Abs. 2 StPO ohne die Mitwirkung der übrigen Erben zur Beschwerde gegen die Nichtanhandnahme- oder Einstellungsverfügung legitimiert ist (zum Ganzen Urteil 6B_1198/2014 vom 3. September 2015 E. 2.3.5 ff. mit Hinweisen, zur Publikation vorgesehen).</w:t>
      </w:r>
    </w:p>
    <w:p>
      <w:r>
        <w:rPr>
          <w:b/>
        </w:rPr>
        <w:t>E. 3.4</w:t>
      </w:r>
    </w:p>
    <w:p>
      <w:r>
        <w:t>Aufgrund der Strafanzeige der Beschwerdeführer waren vorliegend - wie auch im Verfahren 6B_1198/2014 - Delikte zum Nachteil des Nachlasses zu beurteilen, d.h. Straftaten, die sich nach dem Tod des Erblassers zugetragen haben sollen. Die Beschwerdeführer können sich nach der zitierten Rechtsprechung als unmittelbar geschädigte Erben persönlich als Strafkläger am Strafverfahren beteiligen, was sie zur Beschwerde gegen die Verfügungen vom 17. September 2014 berechtigt. Die Vorinstanz spricht ihnen die Beschwerdelegitimation zu Unrecht mit der Begründung ab, die Erben seien nur gemeinsam zur Beschwerde legitimiert. Damit braucht auf die Argumente der Beschwerdeführer betreffend etwa die geltend gemachte partielle Erbteilung und den Verzicht der nicht beschwerdeführenden Miterben auf weitergehende Ansprüche aus dem Nachlass nicht mehr eingegangen zu werden.</w:t>
      </w:r>
    </w:p>
    <w:p>
      <w:r>
        <w:rPr>
          <w:b/>
        </w:rPr>
        <w:t>E. 4</w:t>
      </w:r>
    </w:p>
    <w:p>
      <w:r>
        <w:t>Die Beschwerden sind gutzuheissen. Bei diesem Ausgang des Verfahrens hat der Kanton Zürich die Beschwerdeführer angemessen zu entschädigen ( Art. 68 Abs. 1 und 2 BGG ). Dem Kanton Zürich sind keine Gerichtskosten aufzuerlegen ( Art. 66 Abs. 4 BGG ). Die privaten Beschwerdegegner haben vor Bundesgericht auf Anträge verzichtet. Es sind ihnen daher weder Kosten aufzuerlegen noch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