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6B_308/2020 vom 12. Mai 2020</w:t>
      </w:r>
    </w:p>
    <w:p>
      <w:r>
        <w:t>Bundesgericht, 2020-05-12, DE</w:t>
      </w:r>
    </w:p>
    <w:p>
      <w:r>
        <w:rPr>
          <w:b/>
        </w:rPr>
        <w:t xml:space="preserve">Quelle: </w:t>
      </w:r>
      <w:r>
        <w:t>https://mcp.opencaselaw.ch/entscheid/bger_6B_308_2020</w:t>
      </w:r>
    </w:p>
    <w:p>
      <w:r>
        <w:t>FR: TF 6B_308/2020 du 12 mai 2020</w:t>
      </w:r>
    </w:p>
    <w:p>
      <w:r>
        <w:t>IT: TF 6B_308/2020 del 12 maggio 2020</w:t>
      </w:r>
    </w:p>
    <w:p>
      <w:pPr>
        <w:pStyle w:val="Heading2"/>
      </w:pPr>
      <w:r>
        <w:t>Erwägungen</w:t>
      </w:r>
    </w:p>
    <w:p>
      <w:r>
        <w:rPr>
          <w:b/>
        </w:rPr>
        <w:t>E. 1</w:t>
      </w:r>
    </w:p>
    <w:p>
      <w:r>
        <w:t>Nach Strafanzeigen erliess die Staatsanwaltschaft Kreuzlingen am 5./6. Februar 2020 eine Nichtanhandnahmeverfügung. Auf die dagegen gerichteten Eingaben der Beschwerdeführerin vom 12. und 17. Februar 2020 trat das Obergericht des Kantons Thurgau am 5. März 2020 nicht ein. Die Beschwerdeführerin wendet sich an das Bundesgericht. Dieses könnte sich nur mit der Frage befassen, ob das Obergericht des Kantons Thurgau auf die Eingaben vom 12. und 17. Februar 2020 zu Unrecht nicht eingetreten ist. Damit befasst sich die Beschwerdeführerin nicht im Ansatz. Die Beschwerde genügt folglich den Begründungsanforderungen von Art. 42 Abs. 2 BGG nicht. Das Bundesgericht ist im Übrigen für die Entgegennahme von Strafanzeigen nicht zuständig. Auf die Beschwerde ist im Verfahren nach Art. 108 BGG nicht einzutreten.</w:t>
      </w:r>
    </w:p>
    <w:p>
      <w:r>
        <w:rPr>
          <w:b/>
        </w:rPr>
        <w:t>E. 2</w:t>
      </w:r>
    </w:p>
    <w:p>
      <w:r>
        <w:t>Ausnahmsweise ist auf eine Kostenauflage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