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307/2024 vom 27. Mai 2024</w:t>
      </w:r>
    </w:p>
    <w:p>
      <w:r>
        <w:t>Bundesgericht, 2024-05-27, DE</w:t>
      </w:r>
    </w:p>
    <w:p>
      <w:r>
        <w:rPr>
          <w:b/>
        </w:rPr>
        <w:t xml:space="preserve">Quelle: </w:t>
      </w:r>
      <w:r>
        <w:t>https://mcp.opencaselaw.ch/entscheid/bger_6B_307_2024</w:t>
      </w:r>
    </w:p>
    <w:p>
      <w:r>
        <w:t>FR: TF 6B 307/2024 du 27 mai 2024</w:t>
      </w:r>
    </w:p>
    <w:p>
      <w:r>
        <w:t>IT: TF 6B 307/2024 del 27 maggio 2024</w:t>
      </w:r>
    </w:p>
    <w:p>
      <w:pPr>
        <w:pStyle w:val="Heading2"/>
      </w:pPr>
      <w:r>
        <w:t>Regeste</w:t>
      </w:r>
    </w:p>
    <w:p>
      <w:r>
        <w:t>Strafzumessung (Mehrfache BetmG-Widerhandlung, mehrfache Sachbeschädigung, mehrfacher Hausfriedensbruch etc.); Willkür; Rückzug | Strafrecht (allgemein)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vom 17. April 2024 gegen das Urteil des Kantonsgerichts Wallis vom 12. März 2024 wurde mit Eingabe vom 24. Mai 2024 zurückgezogen. Das Verfahren ist infolge Beschwerderückzugs abzuschreiben.</w:t>
      </w:r>
    </w:p>
    <w:p>
      <w:r>
        <w:rPr>
          <w:b/>
        </w:rPr>
        <w:t>E. 2</w:t>
      </w:r>
    </w:p>
    <w:p>
      <w:r>
        <w:t>Es sind keine Kosten zu erheben.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